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A112C8" w14:textId="77777777" w:rsidR="00276BB0" w:rsidRDefault="00276BB0">
      <w:pPr>
        <w:spacing w:after="0"/>
        <w:jc w:val="center"/>
        <w:rPr>
          <w:rFonts w:ascii="Arial" w:eastAsia="Arial" w:hAnsi="Arial" w:cs="Arial"/>
          <w:b/>
          <w:bCs/>
          <w:sz w:val="20"/>
          <w:szCs w:val="20"/>
        </w:rPr>
      </w:pPr>
    </w:p>
    <w:p w14:paraId="155A6E2E" w14:textId="77777777" w:rsidR="00276BB0" w:rsidRDefault="00276BB0">
      <w:pPr>
        <w:spacing w:after="0" w:line="240" w:lineRule="auto"/>
        <w:rPr>
          <w:rFonts w:ascii="Arial" w:eastAsia="Arial" w:hAnsi="Arial" w:cs="Arial"/>
          <w:b/>
          <w:bCs/>
          <w:color w:val="000000"/>
          <w:sz w:val="20"/>
          <w:szCs w:val="20"/>
        </w:rPr>
      </w:pPr>
    </w:p>
    <w:p w14:paraId="4941A74A" w14:textId="77777777" w:rsidR="00276BB0" w:rsidRDefault="00000000">
      <w:pP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TERMO DE REFERÊNCIA</w:t>
      </w:r>
    </w:p>
    <w:p w14:paraId="76BB8DC8" w14:textId="77777777" w:rsidR="00276BB0" w:rsidRDefault="00276BB0">
      <w:pPr>
        <w:spacing w:after="0" w:line="240" w:lineRule="auto"/>
        <w:jc w:val="center"/>
        <w:rPr>
          <w:rFonts w:ascii="Arial" w:eastAsia="Arial" w:hAnsi="Arial" w:cs="Arial"/>
          <w:color w:val="000000"/>
          <w:sz w:val="20"/>
          <w:szCs w:val="20"/>
        </w:rPr>
      </w:pPr>
    </w:p>
    <w:p w14:paraId="143B31F0" w14:textId="77777777" w:rsidR="00276BB0" w:rsidRDefault="00000000">
      <w:pPr>
        <w:numPr>
          <w:ilvl w:val="0"/>
          <w:numId w:val="2"/>
        </w:numPr>
        <w:shd w:val="clear" w:color="auto" w:fill="BFBFBF"/>
        <w:tabs>
          <w:tab w:val="left" w:pos="720"/>
        </w:tabs>
        <w:spacing w:before="283" w:after="283" w:line="240" w:lineRule="auto"/>
        <w:ind w:right="-30"/>
        <w:jc w:val="both"/>
        <w:rPr>
          <w:rFonts w:ascii="Arial" w:eastAsia="Arial" w:hAnsi="Arial" w:cs="Arial"/>
          <w:b/>
          <w:bCs/>
          <w:color w:val="000000"/>
          <w:sz w:val="20"/>
          <w:szCs w:val="20"/>
        </w:rPr>
      </w:pPr>
      <w:bookmarkStart w:id="0" w:name="_heading=h.2et92p0" w:colFirst="0" w:colLast="0"/>
      <w:bookmarkEnd w:id="0"/>
      <w:r>
        <w:rPr>
          <w:rFonts w:ascii="Arial" w:eastAsia="Arial" w:hAnsi="Arial" w:cs="Arial"/>
          <w:b/>
          <w:bCs/>
          <w:smallCaps/>
          <w:color w:val="000000"/>
          <w:sz w:val="20"/>
          <w:szCs w:val="20"/>
        </w:rPr>
        <w:t>DO OBJETO</w:t>
      </w:r>
      <w:r>
        <w:rPr>
          <w:rFonts w:ascii="Arial" w:eastAsia="Arial" w:hAnsi="Arial" w:cs="Arial"/>
          <w:b/>
          <w:bCs/>
          <w:color w:val="000000"/>
          <w:sz w:val="20"/>
          <w:szCs w:val="20"/>
        </w:rPr>
        <w:t xml:space="preserve"> </w:t>
      </w:r>
    </w:p>
    <w:p w14:paraId="3DF77677" w14:textId="77777777" w:rsidR="00276BB0" w:rsidRDefault="00000000">
      <w:pPr>
        <w:spacing w:before="280" w:after="280"/>
        <w:jc w:val="both"/>
        <w:rPr>
          <w:color w:val="000000"/>
        </w:rPr>
      </w:pPr>
      <w:r>
        <w:rPr>
          <w:color w:val="000000"/>
        </w:rPr>
        <w:t xml:space="preserve">1.1 Registro de preços para Aquisição de equipamentos de iluminação, som e efeitos cênicos para a Autarquia Educacional do Belo Jardim - AEB, destinados à realização de eventos pedagógicos, culturais, apresentações artísticas e atividades de integração institucional, garantindo suporte técnico e operacional para a montagem e execução de ambientes audiovisuais, durante o período de 12 meses, conforme especificações e quantitativos estabelecidos neste instrumento. </w:t>
      </w:r>
    </w:p>
    <w:p w14:paraId="5988887F" w14:textId="77777777" w:rsidR="00276BB0" w:rsidRDefault="00000000">
      <w:pPr>
        <w:numPr>
          <w:ilvl w:val="2"/>
          <w:numId w:val="2"/>
        </w:numPr>
        <w:spacing w:before="119" w:after="119" w:line="240" w:lineRule="auto"/>
        <w:ind w:left="1418" w:firstLine="0"/>
        <w:jc w:val="both"/>
        <w:rPr>
          <w:rFonts w:ascii="Arial" w:eastAsia="Arial" w:hAnsi="Arial" w:cs="Arial"/>
          <w:strike/>
          <w:color w:val="000000"/>
          <w:sz w:val="20"/>
          <w:szCs w:val="20"/>
        </w:rPr>
      </w:pPr>
      <w:r>
        <w:rPr>
          <w:rFonts w:ascii="Arial" w:eastAsia="Arial" w:hAnsi="Arial" w:cs="Arial"/>
          <w:color w:val="000000"/>
          <w:sz w:val="20"/>
          <w:szCs w:val="20"/>
        </w:rPr>
        <w:t>Estimativas de consumo individualizadas, do órgão gerenciador;</w:t>
      </w:r>
    </w:p>
    <w:tbl>
      <w:tblPr>
        <w:tblStyle w:val="a"/>
        <w:tblpPr w:leftFromText="141" w:rightFromText="141" w:vertAnchor="text" w:tblpX="-730" w:tblpY="1"/>
        <w:tblW w:w="11488" w:type="dxa"/>
        <w:tblInd w:w="0" w:type="dxa"/>
        <w:tblLayout w:type="fixed"/>
        <w:tblLook w:val="0400" w:firstRow="0" w:lastRow="0" w:firstColumn="0" w:lastColumn="0" w:noHBand="0" w:noVBand="1"/>
      </w:tblPr>
      <w:tblGrid>
        <w:gridCol w:w="704"/>
        <w:gridCol w:w="3549"/>
        <w:gridCol w:w="992"/>
        <w:gridCol w:w="851"/>
        <w:gridCol w:w="709"/>
        <w:gridCol w:w="1281"/>
        <w:gridCol w:w="1417"/>
        <w:gridCol w:w="1985"/>
      </w:tblGrid>
      <w:tr w:rsidR="00276BB0" w14:paraId="50C07DAB" w14:textId="77777777">
        <w:trPr>
          <w:trHeight w:val="408"/>
        </w:trPr>
        <w:tc>
          <w:tcPr>
            <w:tcW w:w="704" w:type="dxa"/>
            <w:tcBorders>
              <w:top w:val="single" w:sz="4" w:space="0" w:color="000000"/>
              <w:left w:val="single" w:sz="4" w:space="0" w:color="000000"/>
              <w:bottom w:val="single" w:sz="4" w:space="0" w:color="000000"/>
              <w:right w:val="single" w:sz="4" w:space="0" w:color="000000"/>
            </w:tcBorders>
            <w:vAlign w:val="center"/>
          </w:tcPr>
          <w:p w14:paraId="65E96519" w14:textId="77777777" w:rsidR="00276BB0" w:rsidRDefault="00000000" w:rsidP="0058312C">
            <w:pPr>
              <w:spacing w:after="0" w:line="240" w:lineRule="auto"/>
              <w:jc w:val="center"/>
              <w:rPr>
                <w:rFonts w:ascii="Arial" w:eastAsia="Arial" w:hAnsi="Arial" w:cs="Arial"/>
                <w:b/>
                <w:bCs/>
                <w:sz w:val="16"/>
                <w:szCs w:val="16"/>
              </w:rPr>
            </w:pPr>
            <w:bookmarkStart w:id="1" w:name="_heading=h.8wwg6iha2gil" w:colFirst="0" w:colLast="0"/>
            <w:bookmarkEnd w:id="1"/>
            <w:r>
              <w:rPr>
                <w:rFonts w:ascii="Arial" w:eastAsia="Arial" w:hAnsi="Arial" w:cs="Arial"/>
                <w:b/>
                <w:bCs/>
                <w:sz w:val="16"/>
                <w:szCs w:val="16"/>
              </w:rPr>
              <w:t>ITEM</w:t>
            </w:r>
          </w:p>
        </w:tc>
        <w:tc>
          <w:tcPr>
            <w:tcW w:w="3549" w:type="dxa"/>
            <w:tcBorders>
              <w:top w:val="single" w:sz="4" w:space="0" w:color="000000"/>
              <w:left w:val="nil"/>
              <w:bottom w:val="single" w:sz="4" w:space="0" w:color="000000"/>
              <w:right w:val="single" w:sz="4" w:space="0" w:color="000000"/>
            </w:tcBorders>
            <w:vAlign w:val="center"/>
          </w:tcPr>
          <w:p w14:paraId="45D85EAD" w14:textId="77777777" w:rsidR="00276BB0" w:rsidRDefault="00000000" w:rsidP="0058312C">
            <w:pPr>
              <w:spacing w:after="0" w:line="240" w:lineRule="auto"/>
              <w:jc w:val="center"/>
              <w:rPr>
                <w:rFonts w:ascii="Arial" w:eastAsia="Arial" w:hAnsi="Arial" w:cs="Arial"/>
                <w:b/>
                <w:bCs/>
                <w:sz w:val="16"/>
                <w:szCs w:val="16"/>
              </w:rPr>
            </w:pPr>
            <w:r>
              <w:rPr>
                <w:rFonts w:ascii="Arial" w:eastAsia="Arial" w:hAnsi="Arial" w:cs="Arial"/>
                <w:b/>
                <w:bCs/>
                <w:sz w:val="16"/>
                <w:szCs w:val="16"/>
              </w:rPr>
              <w:t>DESCRIÇÃO</w:t>
            </w:r>
          </w:p>
        </w:tc>
        <w:tc>
          <w:tcPr>
            <w:tcW w:w="992" w:type="dxa"/>
            <w:tcBorders>
              <w:top w:val="single" w:sz="4" w:space="0" w:color="000000"/>
              <w:left w:val="nil"/>
              <w:bottom w:val="single" w:sz="4" w:space="0" w:color="000000"/>
              <w:right w:val="single" w:sz="4" w:space="0" w:color="000000"/>
            </w:tcBorders>
            <w:vAlign w:val="center"/>
          </w:tcPr>
          <w:p w14:paraId="18B4F096" w14:textId="77777777" w:rsidR="00276BB0" w:rsidRDefault="00000000" w:rsidP="0058312C">
            <w:pPr>
              <w:spacing w:after="0" w:line="240" w:lineRule="auto"/>
              <w:jc w:val="center"/>
              <w:rPr>
                <w:rFonts w:ascii="Arial" w:eastAsia="Arial" w:hAnsi="Arial" w:cs="Arial"/>
                <w:b/>
                <w:bCs/>
                <w:sz w:val="16"/>
                <w:szCs w:val="16"/>
              </w:rPr>
            </w:pPr>
            <w:r>
              <w:rPr>
                <w:rFonts w:ascii="Arial" w:eastAsia="Arial" w:hAnsi="Arial" w:cs="Arial"/>
                <w:b/>
                <w:bCs/>
                <w:sz w:val="16"/>
                <w:szCs w:val="16"/>
              </w:rPr>
              <w:t>CATMAT</w:t>
            </w:r>
          </w:p>
        </w:tc>
        <w:tc>
          <w:tcPr>
            <w:tcW w:w="851" w:type="dxa"/>
            <w:tcBorders>
              <w:top w:val="single" w:sz="4" w:space="0" w:color="000000"/>
              <w:left w:val="nil"/>
              <w:bottom w:val="single" w:sz="4" w:space="0" w:color="000000"/>
              <w:right w:val="single" w:sz="4" w:space="0" w:color="000000"/>
            </w:tcBorders>
            <w:vAlign w:val="center"/>
          </w:tcPr>
          <w:p w14:paraId="707E66E2" w14:textId="77777777" w:rsidR="00276BB0" w:rsidRDefault="00000000" w:rsidP="0058312C">
            <w:pPr>
              <w:spacing w:after="0" w:line="240" w:lineRule="auto"/>
              <w:jc w:val="center"/>
              <w:rPr>
                <w:rFonts w:ascii="Arial" w:eastAsia="Arial" w:hAnsi="Arial" w:cs="Arial"/>
                <w:b/>
                <w:bCs/>
                <w:sz w:val="16"/>
                <w:szCs w:val="16"/>
              </w:rPr>
            </w:pPr>
            <w:r>
              <w:rPr>
                <w:rFonts w:ascii="Arial" w:eastAsia="Arial" w:hAnsi="Arial" w:cs="Arial"/>
                <w:b/>
                <w:bCs/>
                <w:sz w:val="16"/>
                <w:szCs w:val="16"/>
              </w:rPr>
              <w:t>UND</w:t>
            </w:r>
          </w:p>
        </w:tc>
        <w:tc>
          <w:tcPr>
            <w:tcW w:w="709" w:type="dxa"/>
            <w:tcBorders>
              <w:top w:val="single" w:sz="4" w:space="0" w:color="000000"/>
              <w:left w:val="nil"/>
              <w:bottom w:val="single" w:sz="4" w:space="0" w:color="000000"/>
              <w:right w:val="single" w:sz="4" w:space="0" w:color="000000"/>
            </w:tcBorders>
            <w:vAlign w:val="center"/>
          </w:tcPr>
          <w:p w14:paraId="3C3DD560" w14:textId="2ED35B2E" w:rsidR="00276BB0" w:rsidRDefault="00000000" w:rsidP="0058312C">
            <w:pPr>
              <w:spacing w:after="0" w:line="240" w:lineRule="auto"/>
              <w:jc w:val="center"/>
              <w:rPr>
                <w:rFonts w:ascii="Arial" w:eastAsia="Arial" w:hAnsi="Arial" w:cs="Arial"/>
                <w:b/>
                <w:bCs/>
                <w:sz w:val="16"/>
                <w:szCs w:val="16"/>
              </w:rPr>
            </w:pPr>
            <w:r>
              <w:rPr>
                <w:rFonts w:ascii="Arial" w:eastAsia="Arial" w:hAnsi="Arial" w:cs="Arial"/>
                <w:b/>
                <w:bCs/>
                <w:sz w:val="16"/>
                <w:szCs w:val="16"/>
              </w:rPr>
              <w:t>QTD</w:t>
            </w:r>
          </w:p>
        </w:tc>
        <w:tc>
          <w:tcPr>
            <w:tcW w:w="1281" w:type="dxa"/>
            <w:tcBorders>
              <w:top w:val="single" w:sz="4" w:space="0" w:color="000000"/>
              <w:left w:val="nil"/>
              <w:bottom w:val="single" w:sz="4" w:space="0" w:color="000000"/>
              <w:right w:val="single" w:sz="4" w:space="0" w:color="000000"/>
            </w:tcBorders>
            <w:vAlign w:val="center"/>
          </w:tcPr>
          <w:p w14:paraId="2B2FA5A8" w14:textId="77777777" w:rsidR="00276BB0" w:rsidRDefault="00000000" w:rsidP="0058312C">
            <w:pPr>
              <w:spacing w:after="0" w:line="240" w:lineRule="auto"/>
              <w:jc w:val="center"/>
              <w:rPr>
                <w:rFonts w:ascii="Arial" w:eastAsia="Arial" w:hAnsi="Arial" w:cs="Arial"/>
                <w:b/>
                <w:bCs/>
                <w:sz w:val="16"/>
                <w:szCs w:val="16"/>
              </w:rPr>
            </w:pPr>
            <w:r>
              <w:rPr>
                <w:rFonts w:ascii="Arial" w:eastAsia="Arial" w:hAnsi="Arial" w:cs="Arial"/>
                <w:b/>
                <w:bCs/>
                <w:sz w:val="16"/>
                <w:szCs w:val="16"/>
              </w:rPr>
              <w:t>VALOR MAXIMO ACEITAVEL</w:t>
            </w:r>
          </w:p>
        </w:tc>
        <w:tc>
          <w:tcPr>
            <w:tcW w:w="1417" w:type="dxa"/>
            <w:tcBorders>
              <w:top w:val="single" w:sz="4" w:space="0" w:color="000000"/>
              <w:left w:val="nil"/>
              <w:bottom w:val="single" w:sz="4" w:space="0" w:color="000000"/>
              <w:right w:val="single" w:sz="4" w:space="0" w:color="000000"/>
            </w:tcBorders>
            <w:vAlign w:val="center"/>
          </w:tcPr>
          <w:p w14:paraId="5DF2F971" w14:textId="77777777" w:rsidR="00276BB0" w:rsidRDefault="00000000" w:rsidP="0058312C">
            <w:pPr>
              <w:spacing w:after="0" w:line="240" w:lineRule="auto"/>
              <w:jc w:val="center"/>
              <w:rPr>
                <w:rFonts w:ascii="Arial" w:eastAsia="Arial" w:hAnsi="Arial" w:cs="Arial"/>
                <w:b/>
                <w:bCs/>
                <w:sz w:val="16"/>
                <w:szCs w:val="16"/>
              </w:rPr>
            </w:pPr>
            <w:r>
              <w:rPr>
                <w:rFonts w:ascii="Arial" w:eastAsia="Arial" w:hAnsi="Arial" w:cs="Arial"/>
                <w:b/>
                <w:bCs/>
                <w:sz w:val="16"/>
                <w:szCs w:val="16"/>
              </w:rPr>
              <w:t>TOTAL</w:t>
            </w:r>
          </w:p>
        </w:tc>
        <w:tc>
          <w:tcPr>
            <w:tcW w:w="1985" w:type="dxa"/>
            <w:tcBorders>
              <w:top w:val="single" w:sz="4" w:space="0" w:color="000000"/>
              <w:left w:val="single" w:sz="4" w:space="0" w:color="000000"/>
              <w:bottom w:val="single" w:sz="4" w:space="0" w:color="000000"/>
              <w:right w:val="single" w:sz="4" w:space="0" w:color="000000"/>
            </w:tcBorders>
            <w:vAlign w:val="center"/>
          </w:tcPr>
          <w:p w14:paraId="4D5854F8" w14:textId="77777777" w:rsidR="00276BB0" w:rsidRDefault="00000000" w:rsidP="0058312C">
            <w:pPr>
              <w:spacing w:after="0" w:line="240" w:lineRule="auto"/>
              <w:jc w:val="center"/>
              <w:rPr>
                <w:rFonts w:ascii="Arial" w:eastAsia="Arial" w:hAnsi="Arial" w:cs="Arial"/>
                <w:b/>
                <w:bCs/>
                <w:sz w:val="16"/>
                <w:szCs w:val="16"/>
              </w:rPr>
            </w:pPr>
            <w:r>
              <w:rPr>
                <w:rFonts w:ascii="Arial" w:eastAsia="Arial" w:hAnsi="Arial" w:cs="Arial"/>
                <w:b/>
                <w:bCs/>
                <w:sz w:val="16"/>
                <w:szCs w:val="16"/>
              </w:rPr>
              <w:t>IMAGENS ILUSTRATIVOS</w:t>
            </w:r>
          </w:p>
        </w:tc>
      </w:tr>
      <w:tr w:rsidR="00276BB0" w14:paraId="3B93B38C" w14:textId="77777777">
        <w:trPr>
          <w:trHeight w:val="330"/>
        </w:trPr>
        <w:tc>
          <w:tcPr>
            <w:tcW w:w="704" w:type="dxa"/>
            <w:tcBorders>
              <w:top w:val="single" w:sz="4" w:space="0" w:color="000000"/>
              <w:left w:val="single" w:sz="4" w:space="0" w:color="000000"/>
              <w:bottom w:val="single" w:sz="4" w:space="0" w:color="000000"/>
              <w:right w:val="single" w:sz="4" w:space="0" w:color="000000"/>
            </w:tcBorders>
            <w:vAlign w:val="center"/>
          </w:tcPr>
          <w:p w14:paraId="03A1DF38" w14:textId="5814CC1D" w:rsidR="00276BB0" w:rsidRDefault="0058312C" w:rsidP="0058312C">
            <w:pPr>
              <w:spacing w:after="0" w:line="240" w:lineRule="auto"/>
              <w:jc w:val="center"/>
              <w:rPr>
                <w:rFonts w:ascii="Arial" w:eastAsia="Arial" w:hAnsi="Arial" w:cs="Arial"/>
                <w:sz w:val="16"/>
                <w:szCs w:val="16"/>
              </w:rPr>
            </w:pPr>
            <w:r>
              <w:rPr>
                <w:rFonts w:ascii="Arial" w:eastAsia="Arial" w:hAnsi="Arial" w:cs="Arial"/>
                <w:sz w:val="16"/>
                <w:szCs w:val="16"/>
              </w:rPr>
              <w:t>01</w:t>
            </w:r>
          </w:p>
        </w:tc>
        <w:tc>
          <w:tcPr>
            <w:tcW w:w="3549" w:type="dxa"/>
            <w:tcBorders>
              <w:top w:val="single" w:sz="4" w:space="0" w:color="000000"/>
              <w:left w:val="single" w:sz="4" w:space="0" w:color="000000"/>
              <w:bottom w:val="single" w:sz="4" w:space="0" w:color="000000"/>
              <w:right w:val="single" w:sz="4" w:space="0" w:color="000000"/>
            </w:tcBorders>
            <w:vAlign w:val="center"/>
          </w:tcPr>
          <w:p w14:paraId="73FD0F81" w14:textId="77A44C6F" w:rsidR="00276BB0" w:rsidRDefault="00000000" w:rsidP="00DD3A72">
            <w:pPr>
              <w:spacing w:after="0" w:line="240" w:lineRule="auto"/>
              <w:jc w:val="both"/>
              <w:rPr>
                <w:rFonts w:ascii="Arial" w:eastAsia="Arial" w:hAnsi="Arial" w:cs="Arial"/>
                <w:sz w:val="16"/>
                <w:szCs w:val="16"/>
              </w:rPr>
            </w:pPr>
            <w:r>
              <w:rPr>
                <w:rFonts w:ascii="Arial" w:eastAsia="Arial" w:hAnsi="Arial" w:cs="Arial"/>
                <w:b/>
                <w:bCs/>
                <w:sz w:val="16"/>
                <w:szCs w:val="16"/>
              </w:rPr>
              <w:t xml:space="preserve">COMMAND </w:t>
            </w:r>
            <w:r w:rsidR="006649DB">
              <w:rPr>
                <w:rFonts w:ascii="Arial" w:eastAsia="Arial" w:hAnsi="Arial" w:cs="Arial"/>
                <w:b/>
                <w:bCs/>
                <w:sz w:val="16"/>
                <w:szCs w:val="16"/>
              </w:rPr>
              <w:t>DE ILUMNAÇÃO</w:t>
            </w:r>
            <w:r>
              <w:rPr>
                <w:rFonts w:ascii="Arial" w:eastAsia="Arial" w:hAnsi="Arial" w:cs="Arial"/>
                <w:sz w:val="16"/>
                <w:szCs w:val="16"/>
              </w:rPr>
              <w:t>.  Características mínimas: A expansão (até 4.096 parâmetros adicionando hardwares compatíveis, ou operando como backup em sistemas de rede maiores).</w:t>
            </w:r>
          </w:p>
          <w:p w14:paraId="7FE15CA7" w14:textId="32FD84B7" w:rsidR="00276BB0" w:rsidRDefault="00000000" w:rsidP="00DD3A72">
            <w:pPr>
              <w:spacing w:after="0" w:line="240" w:lineRule="auto"/>
              <w:jc w:val="both"/>
              <w:rPr>
                <w:rFonts w:ascii="Arial" w:eastAsia="Arial" w:hAnsi="Arial" w:cs="Arial"/>
                <w:sz w:val="16"/>
                <w:szCs w:val="16"/>
              </w:rPr>
            </w:pPr>
            <w:r>
              <w:rPr>
                <w:rFonts w:ascii="Arial" w:eastAsia="Arial" w:hAnsi="Arial" w:cs="Arial"/>
                <w:sz w:val="16"/>
                <w:szCs w:val="16"/>
              </w:rPr>
              <w:t>Conectividade e Protocolos: Conexão direta ao computador (PC) via interface USB padrão. O equipamento deve possuir 4 (quatro) portas DMX físicas embutidas para saída/entrada de dados, além de suportar a transmissão de dados através de protocolos Ethernet gerados pelo software.</w:t>
            </w:r>
            <w:r w:rsidR="00DD3A72">
              <w:rPr>
                <w:rFonts w:ascii="Arial" w:eastAsia="Arial" w:hAnsi="Arial" w:cs="Arial"/>
                <w:sz w:val="16"/>
                <w:szCs w:val="16"/>
              </w:rPr>
              <w:t xml:space="preserve"> </w:t>
            </w:r>
            <w:r>
              <w:rPr>
                <w:rFonts w:ascii="Arial" w:eastAsia="Arial" w:hAnsi="Arial" w:cs="Arial"/>
                <w:sz w:val="16"/>
                <w:szCs w:val="16"/>
              </w:rPr>
              <w:t>Interface de Operação Física:</w:t>
            </w:r>
            <w:r w:rsidR="00DD3A72">
              <w:rPr>
                <w:rFonts w:ascii="Arial" w:eastAsia="Arial" w:hAnsi="Arial" w:cs="Arial"/>
                <w:sz w:val="16"/>
                <w:szCs w:val="16"/>
              </w:rPr>
              <w:t xml:space="preserve"> </w:t>
            </w:r>
            <w:r>
              <w:rPr>
                <w:rFonts w:ascii="Arial" w:eastAsia="Arial" w:hAnsi="Arial" w:cs="Arial"/>
                <w:sz w:val="16"/>
                <w:szCs w:val="16"/>
              </w:rPr>
              <w:t>Seção de comando completa e dedicada.</w:t>
            </w:r>
            <w:r w:rsidR="00DD3A72">
              <w:rPr>
                <w:rFonts w:ascii="Arial" w:eastAsia="Arial" w:hAnsi="Arial" w:cs="Arial"/>
                <w:sz w:val="16"/>
                <w:szCs w:val="16"/>
              </w:rPr>
              <w:t xml:space="preserve"> </w:t>
            </w:r>
            <w:r>
              <w:rPr>
                <w:rFonts w:ascii="Arial" w:eastAsia="Arial" w:hAnsi="Arial" w:cs="Arial"/>
                <w:sz w:val="16"/>
                <w:szCs w:val="16"/>
              </w:rPr>
              <w:t>Faders A/B com curso de 100 mm.</w:t>
            </w:r>
            <w:r w:rsidR="00DD3A72">
              <w:rPr>
                <w:rFonts w:ascii="Arial" w:eastAsia="Arial" w:hAnsi="Arial" w:cs="Arial"/>
                <w:sz w:val="16"/>
                <w:szCs w:val="16"/>
              </w:rPr>
              <w:t xml:space="preserve"> </w:t>
            </w:r>
            <w:r>
              <w:rPr>
                <w:rFonts w:ascii="Arial" w:eastAsia="Arial" w:hAnsi="Arial" w:cs="Arial"/>
                <w:sz w:val="16"/>
                <w:szCs w:val="16"/>
              </w:rPr>
              <w:t>Disco de nível (Level-Wheel).</w:t>
            </w:r>
            <w:r w:rsidR="00DD3A72">
              <w:rPr>
                <w:rFonts w:ascii="Arial" w:eastAsia="Arial" w:hAnsi="Arial" w:cs="Arial"/>
                <w:sz w:val="16"/>
                <w:szCs w:val="16"/>
              </w:rPr>
              <w:t xml:space="preserve"> </w:t>
            </w:r>
            <w:r>
              <w:rPr>
                <w:rFonts w:ascii="Arial" w:eastAsia="Arial" w:hAnsi="Arial" w:cs="Arial"/>
                <w:sz w:val="16"/>
                <w:szCs w:val="16"/>
              </w:rPr>
              <w:t>Teclas individuais de operação silenciosa (sem clique acústico/click-less), com retroiluminação ajustável (dimerizável).</w:t>
            </w:r>
            <w:r w:rsidR="00DD3A72">
              <w:rPr>
                <w:rFonts w:ascii="Arial" w:eastAsia="Arial" w:hAnsi="Arial" w:cs="Arial"/>
                <w:sz w:val="16"/>
                <w:szCs w:val="16"/>
              </w:rPr>
              <w:t xml:space="preserve"> </w:t>
            </w:r>
            <w:r>
              <w:rPr>
                <w:rFonts w:ascii="Arial" w:eastAsia="Arial" w:hAnsi="Arial" w:cs="Arial"/>
                <w:sz w:val="16"/>
                <w:szCs w:val="16"/>
              </w:rPr>
              <w:t>Recursos Adicionais: Deve possuir porta USB dedicada para conexão de luminária de mesa externa e slot de segurança padrão Kensington (trava antifurto).</w:t>
            </w:r>
            <w:r w:rsidR="00DD3A72">
              <w:rPr>
                <w:rFonts w:ascii="Arial" w:eastAsia="Arial" w:hAnsi="Arial" w:cs="Arial"/>
                <w:sz w:val="16"/>
                <w:szCs w:val="16"/>
              </w:rPr>
              <w:t xml:space="preserve"> </w:t>
            </w:r>
            <w:r>
              <w:rPr>
                <w:rFonts w:ascii="Arial" w:eastAsia="Arial" w:hAnsi="Arial" w:cs="Arial"/>
                <w:sz w:val="16"/>
                <w:szCs w:val="16"/>
              </w:rPr>
              <w:t>Alimentação Elétrica: Fonte de alimentação universal integrada ao chassi do equipamento.</w:t>
            </w:r>
            <w:r w:rsidR="00DD3A72">
              <w:rPr>
                <w:rFonts w:ascii="Arial" w:eastAsia="Arial" w:hAnsi="Arial" w:cs="Arial"/>
                <w:sz w:val="16"/>
                <w:szCs w:val="16"/>
              </w:rPr>
              <w:t xml:space="preserve"> </w:t>
            </w:r>
            <w:r>
              <w:rPr>
                <w:rFonts w:ascii="Arial" w:eastAsia="Arial" w:hAnsi="Arial" w:cs="Arial"/>
                <w:sz w:val="16"/>
                <w:szCs w:val="16"/>
              </w:rPr>
              <w:t>Características Físicas: Design ergonômico, compacto e leve, adequado para uso móvel e turnês.</w:t>
            </w:r>
            <w:r w:rsidR="00DD3A72">
              <w:rPr>
                <w:rFonts w:ascii="Arial" w:eastAsia="Arial" w:hAnsi="Arial" w:cs="Arial"/>
                <w:sz w:val="16"/>
                <w:szCs w:val="16"/>
              </w:rPr>
              <w:t xml:space="preserve"> </w:t>
            </w:r>
            <w:r>
              <w:rPr>
                <w:rFonts w:ascii="Arial" w:eastAsia="Arial" w:hAnsi="Arial" w:cs="Arial"/>
                <w:sz w:val="16"/>
                <w:szCs w:val="16"/>
              </w:rPr>
              <w:t>Dimensões aproximadas: 536 mm (L) x 395 mm (P) x 70 mm (A).</w:t>
            </w:r>
            <w:r w:rsidR="00DD3A72">
              <w:rPr>
                <w:rFonts w:ascii="Arial" w:eastAsia="Arial" w:hAnsi="Arial" w:cs="Arial"/>
                <w:sz w:val="16"/>
                <w:szCs w:val="16"/>
              </w:rPr>
              <w:t xml:space="preserve"> </w:t>
            </w:r>
            <w:r>
              <w:rPr>
                <w:rFonts w:ascii="Arial" w:eastAsia="Arial" w:hAnsi="Arial" w:cs="Arial"/>
                <w:sz w:val="16"/>
                <w:szCs w:val="16"/>
              </w:rPr>
              <w:t>Peso aproximado: 6 kg.</w:t>
            </w:r>
            <w:r w:rsidR="00DD3A72">
              <w:rPr>
                <w:rFonts w:ascii="Arial" w:eastAsia="Arial" w:hAnsi="Arial" w:cs="Arial"/>
                <w:sz w:val="16"/>
                <w:szCs w:val="16"/>
              </w:rPr>
              <w:t xml:space="preserve"> </w:t>
            </w:r>
            <w:r>
              <w:rPr>
                <w:rFonts w:ascii="Arial" w:eastAsia="Arial" w:hAnsi="Arial" w:cs="Arial"/>
                <w:sz w:val="16"/>
                <w:szCs w:val="16"/>
              </w:rPr>
              <w:t>Itens Inclusos: 1 (uma) Superfície de Controle de Iluminação, cabos de energia e dados (USB) necessários para o funcionamento e manual de instruções.</w:t>
            </w:r>
          </w:p>
        </w:tc>
        <w:tc>
          <w:tcPr>
            <w:tcW w:w="992" w:type="dxa"/>
            <w:tcBorders>
              <w:top w:val="single" w:sz="4" w:space="0" w:color="000000"/>
              <w:left w:val="single" w:sz="4" w:space="0" w:color="000000"/>
              <w:bottom w:val="single" w:sz="4" w:space="0" w:color="000000"/>
              <w:right w:val="single" w:sz="4" w:space="0" w:color="000000"/>
            </w:tcBorders>
            <w:vAlign w:val="center"/>
          </w:tcPr>
          <w:p w14:paraId="03AC732D" w14:textId="112390B8" w:rsidR="00276BB0" w:rsidRDefault="00DD3A72" w:rsidP="0058312C">
            <w:pPr>
              <w:spacing w:after="0" w:line="240" w:lineRule="auto"/>
              <w:jc w:val="center"/>
              <w:rPr>
                <w:rFonts w:ascii="Arial" w:eastAsia="Arial" w:hAnsi="Arial" w:cs="Arial"/>
                <w:sz w:val="16"/>
                <w:szCs w:val="16"/>
              </w:rPr>
            </w:pPr>
            <w:r w:rsidRPr="00DD3A72">
              <w:rPr>
                <w:rFonts w:ascii="Arial" w:eastAsia="Arial" w:hAnsi="Arial" w:cs="Arial"/>
                <w:sz w:val="16"/>
                <w:szCs w:val="16"/>
              </w:rPr>
              <w:t>601279</w:t>
            </w:r>
          </w:p>
        </w:tc>
        <w:tc>
          <w:tcPr>
            <w:tcW w:w="851" w:type="dxa"/>
            <w:tcBorders>
              <w:top w:val="single" w:sz="4" w:space="0" w:color="000000"/>
              <w:left w:val="single" w:sz="4" w:space="0" w:color="000000"/>
              <w:bottom w:val="single" w:sz="4" w:space="0" w:color="000000"/>
              <w:right w:val="single" w:sz="4" w:space="0" w:color="000000"/>
            </w:tcBorders>
            <w:vAlign w:val="center"/>
          </w:tcPr>
          <w:p w14:paraId="09CB263F" w14:textId="77777777" w:rsidR="00276BB0" w:rsidRDefault="00000000" w:rsidP="0058312C">
            <w:pPr>
              <w:spacing w:after="0" w:line="240" w:lineRule="auto"/>
              <w:jc w:val="center"/>
              <w:rPr>
                <w:rFonts w:ascii="Arial" w:eastAsia="Arial" w:hAnsi="Arial" w:cs="Arial"/>
                <w:sz w:val="16"/>
                <w:szCs w:val="16"/>
              </w:rPr>
            </w:pPr>
            <w:r>
              <w:rPr>
                <w:rFonts w:ascii="Arial" w:eastAsia="Arial" w:hAnsi="Arial" w:cs="Arial"/>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5186E865" w14:textId="77777777" w:rsidR="00276BB0" w:rsidRDefault="00000000" w:rsidP="0058312C">
            <w:pPr>
              <w:spacing w:after="0" w:line="240" w:lineRule="auto"/>
              <w:jc w:val="center"/>
              <w:rPr>
                <w:rFonts w:ascii="Arial" w:eastAsia="Arial" w:hAnsi="Arial" w:cs="Arial"/>
                <w:sz w:val="16"/>
                <w:szCs w:val="16"/>
              </w:rPr>
            </w:pPr>
            <w:r>
              <w:rPr>
                <w:rFonts w:ascii="Arial" w:eastAsia="Arial" w:hAnsi="Arial" w:cs="Arial"/>
                <w:sz w:val="16"/>
                <w:szCs w:val="16"/>
              </w:rPr>
              <w:t>01</w:t>
            </w:r>
          </w:p>
        </w:tc>
        <w:tc>
          <w:tcPr>
            <w:tcW w:w="1281" w:type="dxa"/>
            <w:tcBorders>
              <w:top w:val="single" w:sz="4" w:space="0" w:color="000000"/>
              <w:left w:val="single" w:sz="4" w:space="0" w:color="000000"/>
              <w:bottom w:val="single" w:sz="4" w:space="0" w:color="000000"/>
              <w:right w:val="single" w:sz="4" w:space="0" w:color="000000"/>
            </w:tcBorders>
            <w:vAlign w:val="center"/>
          </w:tcPr>
          <w:p w14:paraId="3F8E5CA8" w14:textId="2A6A7704" w:rsidR="00276BB0" w:rsidRDefault="00DD3A72" w:rsidP="0058312C">
            <w:pPr>
              <w:spacing w:after="0" w:line="240" w:lineRule="auto"/>
              <w:jc w:val="center"/>
              <w:rPr>
                <w:rFonts w:ascii="Arial" w:eastAsia="Arial" w:hAnsi="Arial" w:cs="Arial"/>
                <w:sz w:val="16"/>
                <w:szCs w:val="16"/>
              </w:rPr>
            </w:pPr>
            <w:r w:rsidRPr="00DD3A72">
              <w:rPr>
                <w:rFonts w:ascii="Arial" w:eastAsia="Arial" w:hAnsi="Arial" w:cs="Arial"/>
                <w:sz w:val="16"/>
                <w:szCs w:val="16"/>
              </w:rPr>
              <w:t>R$ 3.300</w:t>
            </w:r>
            <w:r w:rsidR="00956B32">
              <w:rPr>
                <w:rFonts w:ascii="Arial" w:eastAsia="Arial" w:hAnsi="Arial" w:cs="Arial"/>
                <w:sz w:val="16"/>
                <w:szCs w:val="16"/>
              </w:rPr>
              <w:t>,</w:t>
            </w:r>
            <w:r w:rsidRPr="00DD3A72">
              <w:rPr>
                <w:rFonts w:ascii="Arial" w:eastAsia="Arial" w:hAnsi="Arial" w:cs="Arial"/>
                <w:sz w:val="16"/>
                <w:szCs w:val="16"/>
              </w:rPr>
              <w:t>00</w:t>
            </w:r>
          </w:p>
        </w:tc>
        <w:tc>
          <w:tcPr>
            <w:tcW w:w="1417" w:type="dxa"/>
            <w:tcBorders>
              <w:top w:val="single" w:sz="4" w:space="0" w:color="000000"/>
              <w:left w:val="single" w:sz="4" w:space="0" w:color="000000"/>
              <w:bottom w:val="single" w:sz="4" w:space="0" w:color="000000"/>
              <w:right w:val="single" w:sz="4" w:space="0" w:color="000000"/>
            </w:tcBorders>
            <w:vAlign w:val="center"/>
          </w:tcPr>
          <w:p w14:paraId="53857D6F" w14:textId="1B4EE9A6" w:rsidR="00276BB0" w:rsidRDefault="00DD3A72" w:rsidP="0058312C">
            <w:pPr>
              <w:spacing w:after="0" w:line="240" w:lineRule="auto"/>
              <w:jc w:val="center"/>
              <w:rPr>
                <w:rFonts w:ascii="Arial" w:eastAsia="Arial" w:hAnsi="Arial" w:cs="Arial"/>
                <w:sz w:val="16"/>
                <w:szCs w:val="16"/>
              </w:rPr>
            </w:pPr>
            <w:r w:rsidRPr="00DD3A72">
              <w:rPr>
                <w:rFonts w:ascii="Arial" w:eastAsia="Arial" w:hAnsi="Arial" w:cs="Arial"/>
                <w:sz w:val="16"/>
                <w:szCs w:val="16"/>
              </w:rPr>
              <w:t>R$ 3.300</w:t>
            </w:r>
            <w:r w:rsidR="00956B32">
              <w:rPr>
                <w:rFonts w:ascii="Arial" w:eastAsia="Arial" w:hAnsi="Arial" w:cs="Arial"/>
                <w:sz w:val="16"/>
                <w:szCs w:val="16"/>
              </w:rPr>
              <w:t>,</w:t>
            </w:r>
            <w:r w:rsidRPr="00DD3A72">
              <w:rPr>
                <w:rFonts w:ascii="Arial" w:eastAsia="Arial" w:hAnsi="Arial" w:cs="Arial"/>
                <w:sz w:val="16"/>
                <w:szCs w:val="16"/>
              </w:rPr>
              <w:t>00</w:t>
            </w:r>
          </w:p>
        </w:tc>
        <w:tc>
          <w:tcPr>
            <w:tcW w:w="1985" w:type="dxa"/>
            <w:tcBorders>
              <w:top w:val="single" w:sz="4" w:space="0" w:color="000000"/>
              <w:left w:val="single" w:sz="4" w:space="0" w:color="000000"/>
              <w:bottom w:val="single" w:sz="4" w:space="0" w:color="000000"/>
              <w:right w:val="single" w:sz="4" w:space="0" w:color="000000"/>
            </w:tcBorders>
            <w:vAlign w:val="center"/>
          </w:tcPr>
          <w:p w14:paraId="4329F473" w14:textId="77777777" w:rsidR="00276BB0" w:rsidRDefault="00000000" w:rsidP="0058312C">
            <w:pPr>
              <w:spacing w:after="0" w:line="240" w:lineRule="auto"/>
              <w:rPr>
                <w:rFonts w:ascii="Arial" w:eastAsia="Arial" w:hAnsi="Arial" w:cs="Arial"/>
                <w:sz w:val="16"/>
                <w:szCs w:val="16"/>
              </w:rPr>
            </w:pPr>
            <w:r>
              <w:rPr>
                <w:rFonts w:ascii="Arial" w:eastAsia="Arial" w:hAnsi="Arial" w:cs="Arial"/>
                <w:noProof/>
                <w:sz w:val="16"/>
                <w:szCs w:val="16"/>
              </w:rPr>
              <w:drawing>
                <wp:inline distT="114300" distB="114300" distL="114300" distR="114300" wp14:anchorId="7D3C9F62" wp14:editId="19BB7AE6">
                  <wp:extent cx="1162050" cy="685800"/>
                  <wp:effectExtent l="0" t="0" r="0" b="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162050" cy="685800"/>
                          </a:xfrm>
                          <a:prstGeom prst="rect">
                            <a:avLst/>
                          </a:prstGeom>
                          <a:ln/>
                        </pic:spPr>
                      </pic:pic>
                    </a:graphicData>
                  </a:graphic>
                </wp:inline>
              </w:drawing>
            </w:r>
          </w:p>
        </w:tc>
      </w:tr>
      <w:tr w:rsidR="00276BB0" w14:paraId="0C87F324" w14:textId="77777777">
        <w:trPr>
          <w:trHeight w:val="330"/>
        </w:trPr>
        <w:tc>
          <w:tcPr>
            <w:tcW w:w="704" w:type="dxa"/>
            <w:tcBorders>
              <w:top w:val="single" w:sz="4" w:space="0" w:color="000000"/>
              <w:left w:val="single" w:sz="4" w:space="0" w:color="000000"/>
              <w:bottom w:val="single" w:sz="4" w:space="0" w:color="000000"/>
              <w:right w:val="single" w:sz="4" w:space="0" w:color="000000"/>
            </w:tcBorders>
            <w:vAlign w:val="center"/>
          </w:tcPr>
          <w:p w14:paraId="2C5BDE8C" w14:textId="0F291EA7" w:rsidR="00276BB0" w:rsidRDefault="00DD3A72" w:rsidP="00DD3A72">
            <w:pPr>
              <w:spacing w:after="0" w:line="240" w:lineRule="auto"/>
              <w:jc w:val="center"/>
              <w:rPr>
                <w:rFonts w:ascii="Arial" w:eastAsia="Arial" w:hAnsi="Arial" w:cs="Arial"/>
                <w:sz w:val="16"/>
                <w:szCs w:val="16"/>
              </w:rPr>
            </w:pPr>
            <w:r>
              <w:rPr>
                <w:rFonts w:ascii="Arial" w:eastAsia="Arial" w:hAnsi="Arial" w:cs="Arial"/>
                <w:sz w:val="16"/>
                <w:szCs w:val="16"/>
              </w:rPr>
              <w:t>02</w:t>
            </w:r>
          </w:p>
        </w:tc>
        <w:tc>
          <w:tcPr>
            <w:tcW w:w="3549" w:type="dxa"/>
            <w:tcBorders>
              <w:top w:val="single" w:sz="4" w:space="0" w:color="000000"/>
              <w:left w:val="single" w:sz="4" w:space="0" w:color="000000"/>
              <w:bottom w:val="single" w:sz="4" w:space="0" w:color="000000"/>
              <w:right w:val="single" w:sz="4" w:space="0" w:color="000000"/>
            </w:tcBorders>
            <w:vAlign w:val="center"/>
          </w:tcPr>
          <w:p w14:paraId="04806486" w14:textId="4C95E170" w:rsidR="00276BB0" w:rsidRDefault="00000000" w:rsidP="00DD3A72">
            <w:pPr>
              <w:spacing w:after="0" w:line="240" w:lineRule="auto"/>
              <w:jc w:val="both"/>
              <w:rPr>
                <w:rFonts w:ascii="Arial" w:eastAsia="Arial" w:hAnsi="Arial" w:cs="Arial"/>
                <w:sz w:val="16"/>
                <w:szCs w:val="16"/>
              </w:rPr>
            </w:pPr>
            <w:r>
              <w:rPr>
                <w:rFonts w:ascii="Arial" w:eastAsia="Arial" w:hAnsi="Arial" w:cs="Arial"/>
                <w:b/>
                <w:bCs/>
                <w:sz w:val="16"/>
                <w:szCs w:val="16"/>
              </w:rPr>
              <w:t xml:space="preserve">MOVING BEAM 9R COM BORDA. </w:t>
            </w:r>
            <w:r>
              <w:rPr>
                <w:rFonts w:ascii="Arial" w:eastAsia="Arial" w:hAnsi="Arial" w:cs="Arial"/>
                <w:sz w:val="16"/>
                <w:szCs w:val="16"/>
              </w:rPr>
              <w:t>Características mínimas: Conjunto composto por 2 (dois) refletores de efeitos visuais do tipo Moving Head (cabeça móvel) com efeito Beam, e 1 (um) estojo rígido de transporte (Hard Case) duplo. O conjunto deve atender, obrigatoriamente, às seguintes especificações técnicas mínimas:</w:t>
            </w:r>
            <w:r w:rsidR="00DD3A72">
              <w:rPr>
                <w:rFonts w:ascii="Arial" w:eastAsia="Arial" w:hAnsi="Arial" w:cs="Arial"/>
                <w:sz w:val="16"/>
                <w:szCs w:val="16"/>
              </w:rPr>
              <w:t xml:space="preserve"> </w:t>
            </w:r>
            <w:r>
              <w:rPr>
                <w:rFonts w:ascii="Arial" w:eastAsia="Arial" w:hAnsi="Arial" w:cs="Arial"/>
                <w:sz w:val="16"/>
                <w:szCs w:val="16"/>
              </w:rPr>
              <w:t>Especificações dos Refletores (Moving Heads):</w:t>
            </w:r>
            <w:r w:rsidR="00DD3A72">
              <w:rPr>
                <w:rFonts w:ascii="Arial" w:eastAsia="Arial" w:hAnsi="Arial" w:cs="Arial"/>
                <w:sz w:val="16"/>
                <w:szCs w:val="16"/>
              </w:rPr>
              <w:t xml:space="preserve"> </w:t>
            </w:r>
            <w:r>
              <w:rPr>
                <w:rFonts w:ascii="Arial" w:eastAsia="Arial" w:hAnsi="Arial" w:cs="Arial"/>
                <w:sz w:val="16"/>
                <w:szCs w:val="16"/>
              </w:rPr>
              <w:t>Fonte Luminosa Principal: Lâmpada de descarga com potência mínima de 250W (padrão 9R).</w:t>
            </w:r>
            <w:r w:rsidR="00DD3A72">
              <w:rPr>
                <w:rFonts w:ascii="Arial" w:eastAsia="Arial" w:hAnsi="Arial" w:cs="Arial"/>
                <w:sz w:val="16"/>
                <w:szCs w:val="16"/>
              </w:rPr>
              <w:t xml:space="preserve"> </w:t>
            </w:r>
            <w:r>
              <w:rPr>
                <w:rFonts w:ascii="Arial" w:eastAsia="Arial" w:hAnsi="Arial" w:cs="Arial"/>
                <w:sz w:val="16"/>
                <w:szCs w:val="16"/>
              </w:rPr>
              <w:t>Temperatura de Cor: Aproximadamente 8000K.</w:t>
            </w:r>
            <w:r w:rsidR="00DD3A72">
              <w:rPr>
                <w:rFonts w:ascii="Arial" w:eastAsia="Arial" w:hAnsi="Arial" w:cs="Arial"/>
                <w:sz w:val="16"/>
                <w:szCs w:val="16"/>
              </w:rPr>
              <w:t xml:space="preserve"> </w:t>
            </w:r>
            <w:r>
              <w:rPr>
                <w:rFonts w:ascii="Arial" w:eastAsia="Arial" w:hAnsi="Arial" w:cs="Arial"/>
                <w:sz w:val="16"/>
                <w:szCs w:val="16"/>
              </w:rPr>
              <w:t>Fonte Luminosa Secundária: Fita/Anel de LED frontal integrado para efeitos visuais complementares.</w:t>
            </w:r>
            <w:r w:rsidR="00DD3A72">
              <w:rPr>
                <w:rFonts w:ascii="Arial" w:eastAsia="Arial" w:hAnsi="Arial" w:cs="Arial"/>
                <w:sz w:val="16"/>
                <w:szCs w:val="16"/>
              </w:rPr>
              <w:t xml:space="preserve"> </w:t>
            </w:r>
            <w:r>
              <w:rPr>
                <w:rFonts w:ascii="Arial" w:eastAsia="Arial" w:hAnsi="Arial" w:cs="Arial"/>
                <w:sz w:val="16"/>
                <w:szCs w:val="16"/>
              </w:rPr>
              <w:t>Movimentação: Eixos acionados por motores trifásicos de alta precisão (movimentação rápida e silenciosa). Ângulo de rotação Pan de 540° e Tilt de 270°.</w:t>
            </w:r>
            <w:r w:rsidR="00DD3A72">
              <w:rPr>
                <w:rFonts w:ascii="Arial" w:eastAsia="Arial" w:hAnsi="Arial" w:cs="Arial"/>
                <w:sz w:val="16"/>
                <w:szCs w:val="16"/>
              </w:rPr>
              <w:t xml:space="preserve"> </w:t>
            </w:r>
            <w:r>
              <w:rPr>
                <w:rFonts w:ascii="Arial" w:eastAsia="Arial" w:hAnsi="Arial" w:cs="Arial"/>
                <w:sz w:val="16"/>
                <w:szCs w:val="16"/>
              </w:rPr>
              <w:t>Controle e Configuração: Interface com display LCD com tecnologia sensível ao toque (touch screen) para acesso ao menu de configurações.</w:t>
            </w:r>
            <w:r w:rsidR="00DD3A72">
              <w:rPr>
                <w:rFonts w:ascii="Arial" w:eastAsia="Arial" w:hAnsi="Arial" w:cs="Arial"/>
                <w:sz w:val="16"/>
                <w:szCs w:val="16"/>
              </w:rPr>
              <w:t xml:space="preserve"> </w:t>
            </w:r>
            <w:r>
              <w:rPr>
                <w:rFonts w:ascii="Arial" w:eastAsia="Arial" w:hAnsi="Arial" w:cs="Arial"/>
                <w:sz w:val="16"/>
                <w:szCs w:val="16"/>
              </w:rPr>
              <w:t xml:space="preserve">Modos de Operação: Compatível com protocolo DMX 512, modo Automático, </w:t>
            </w:r>
            <w:r>
              <w:rPr>
                <w:rFonts w:ascii="Arial" w:eastAsia="Arial" w:hAnsi="Arial" w:cs="Arial"/>
                <w:sz w:val="16"/>
                <w:szCs w:val="16"/>
              </w:rPr>
              <w:lastRenderedPageBreak/>
              <w:t>modo Ativação por Som e modo Master/Slave.</w:t>
            </w:r>
          </w:p>
          <w:p w14:paraId="4C9D14AA" w14:textId="77777777" w:rsidR="00276BB0" w:rsidRDefault="00000000" w:rsidP="00DD3A72">
            <w:pPr>
              <w:spacing w:after="0" w:line="240" w:lineRule="auto"/>
              <w:jc w:val="both"/>
              <w:rPr>
                <w:rFonts w:ascii="Arial" w:eastAsia="Arial" w:hAnsi="Arial" w:cs="Arial"/>
                <w:sz w:val="16"/>
                <w:szCs w:val="16"/>
              </w:rPr>
            </w:pPr>
            <w:r>
              <w:rPr>
                <w:rFonts w:ascii="Arial" w:eastAsia="Arial" w:hAnsi="Arial" w:cs="Arial"/>
                <w:sz w:val="16"/>
                <w:szCs w:val="16"/>
              </w:rPr>
              <w:t>Refrigeração e Proteção: Sistema de ventilação mecânica forçada (cooler) e sistema interno de proteção térmica contra superaquecimento.</w:t>
            </w:r>
          </w:p>
          <w:p w14:paraId="26C79968" w14:textId="31023437" w:rsidR="00276BB0" w:rsidRDefault="00000000" w:rsidP="00DD3A72">
            <w:pPr>
              <w:spacing w:after="0" w:line="240" w:lineRule="auto"/>
              <w:jc w:val="both"/>
              <w:rPr>
                <w:rFonts w:ascii="Arial" w:eastAsia="Arial" w:hAnsi="Arial" w:cs="Arial"/>
                <w:sz w:val="16"/>
                <w:szCs w:val="16"/>
              </w:rPr>
            </w:pPr>
            <w:r>
              <w:rPr>
                <w:rFonts w:ascii="Arial" w:eastAsia="Arial" w:hAnsi="Arial" w:cs="Arial"/>
                <w:sz w:val="16"/>
                <w:szCs w:val="16"/>
              </w:rPr>
              <w:t>Grau de Proteção (IP): IP20 (indicado para uso em ambientes internos).</w:t>
            </w:r>
            <w:r w:rsidR="00DD3A72">
              <w:rPr>
                <w:rFonts w:ascii="Arial" w:eastAsia="Arial" w:hAnsi="Arial" w:cs="Arial"/>
                <w:sz w:val="16"/>
                <w:szCs w:val="16"/>
              </w:rPr>
              <w:t xml:space="preserve"> </w:t>
            </w:r>
            <w:r>
              <w:rPr>
                <w:rFonts w:ascii="Arial" w:eastAsia="Arial" w:hAnsi="Arial" w:cs="Arial"/>
                <w:sz w:val="16"/>
                <w:szCs w:val="16"/>
              </w:rPr>
              <w:t>Construção: Estrutura interna (chassi) em alumínio e acabamento externo (capas) em material emborrachado ou plástico com propriedades antichamas.</w:t>
            </w:r>
            <w:r w:rsidR="00DD3A72">
              <w:rPr>
                <w:rFonts w:ascii="Arial" w:eastAsia="Arial" w:hAnsi="Arial" w:cs="Arial"/>
                <w:sz w:val="16"/>
                <w:szCs w:val="16"/>
              </w:rPr>
              <w:t xml:space="preserve"> </w:t>
            </w:r>
            <w:r>
              <w:rPr>
                <w:rFonts w:ascii="Arial" w:eastAsia="Arial" w:hAnsi="Arial" w:cs="Arial"/>
                <w:sz w:val="16"/>
                <w:szCs w:val="16"/>
              </w:rPr>
              <w:t>Alimentação Elétrica: Tensão Bivolt (110V/220V), frequência de 50/60Hz.</w:t>
            </w:r>
            <w:r w:rsidR="00DD3A72">
              <w:rPr>
                <w:rFonts w:ascii="Arial" w:eastAsia="Arial" w:hAnsi="Arial" w:cs="Arial"/>
                <w:sz w:val="16"/>
                <w:szCs w:val="16"/>
              </w:rPr>
              <w:t xml:space="preserve"> </w:t>
            </w:r>
            <w:r>
              <w:rPr>
                <w:rFonts w:ascii="Arial" w:eastAsia="Arial" w:hAnsi="Arial" w:cs="Arial"/>
                <w:sz w:val="16"/>
                <w:szCs w:val="16"/>
              </w:rPr>
              <w:t>Especificações do Estojo de Transporte (Hard Case Duplo):</w:t>
            </w:r>
            <w:r w:rsidR="00DD3A72">
              <w:rPr>
                <w:rFonts w:ascii="Arial" w:eastAsia="Arial" w:hAnsi="Arial" w:cs="Arial"/>
                <w:sz w:val="16"/>
                <w:szCs w:val="16"/>
              </w:rPr>
              <w:t xml:space="preserve"> </w:t>
            </w:r>
            <w:r>
              <w:rPr>
                <w:rFonts w:ascii="Arial" w:eastAsia="Arial" w:hAnsi="Arial" w:cs="Arial"/>
                <w:sz w:val="16"/>
                <w:szCs w:val="16"/>
              </w:rPr>
              <w:t>Capacidade: Projetado especificamente para acomodar de forma segura 2 (duas) unidades do Moving Head especificado acima, além de compartimento extra para cabos e garras.</w:t>
            </w:r>
            <w:r w:rsidR="00DD3A72">
              <w:rPr>
                <w:rFonts w:ascii="Arial" w:eastAsia="Arial" w:hAnsi="Arial" w:cs="Arial"/>
                <w:sz w:val="16"/>
                <w:szCs w:val="16"/>
              </w:rPr>
              <w:t xml:space="preserve"> </w:t>
            </w:r>
            <w:r>
              <w:rPr>
                <w:rFonts w:ascii="Arial" w:eastAsia="Arial" w:hAnsi="Arial" w:cs="Arial"/>
                <w:sz w:val="16"/>
                <w:szCs w:val="16"/>
              </w:rPr>
              <w:t>Construção Externa: Estrutura fabricada em madeira compensada de alta densidade revestida ou material termoplástico rígido resistente a impactos. Deve possuir perfis de encaixe em alumínio e cantoneiras de proteção em metal (aço ou ferro zincado).</w:t>
            </w:r>
            <w:r w:rsidR="00DD3A72">
              <w:rPr>
                <w:rFonts w:ascii="Arial" w:eastAsia="Arial" w:hAnsi="Arial" w:cs="Arial"/>
                <w:sz w:val="16"/>
                <w:szCs w:val="16"/>
              </w:rPr>
              <w:t xml:space="preserve"> </w:t>
            </w:r>
            <w:r>
              <w:rPr>
                <w:rFonts w:ascii="Arial" w:eastAsia="Arial" w:hAnsi="Arial" w:cs="Arial"/>
                <w:sz w:val="16"/>
                <w:szCs w:val="16"/>
              </w:rPr>
              <w:t>Proteção Interna: Revestimento interno total em espuma de alta densidade (tipo Ethafoam, EVA ou similar), moldada no formato exato dos equipamentos para absorção de impactos mecânicos durante o transporte.</w:t>
            </w:r>
            <w:r w:rsidR="00DD3A72">
              <w:rPr>
                <w:rFonts w:ascii="Arial" w:eastAsia="Arial" w:hAnsi="Arial" w:cs="Arial"/>
                <w:sz w:val="16"/>
                <w:szCs w:val="16"/>
              </w:rPr>
              <w:t xml:space="preserve"> </w:t>
            </w:r>
            <w:r>
              <w:rPr>
                <w:rFonts w:ascii="Arial" w:eastAsia="Arial" w:hAnsi="Arial" w:cs="Arial"/>
                <w:sz w:val="16"/>
                <w:szCs w:val="16"/>
              </w:rPr>
              <w:t>Ferragens e Locomoção: Deve possuir fechos de engate rápido e seguro (tipo borboleta) com suporte para cadeado, alças embutidas com mola (retráteis) nas laterais e base equipada com 4 (quatro) rodízios giratórios de alta resistência, sendo no mínimo 2 (dois) com sistema de freio/trava.</w:t>
            </w:r>
            <w:r w:rsidR="00DD3A72">
              <w:rPr>
                <w:rFonts w:ascii="Arial" w:eastAsia="Arial" w:hAnsi="Arial" w:cs="Arial"/>
                <w:sz w:val="16"/>
                <w:szCs w:val="16"/>
              </w:rPr>
              <w:t xml:space="preserve"> </w:t>
            </w:r>
            <w:r>
              <w:rPr>
                <w:rFonts w:ascii="Arial" w:eastAsia="Arial" w:hAnsi="Arial" w:cs="Arial"/>
                <w:sz w:val="16"/>
                <w:szCs w:val="16"/>
              </w:rPr>
              <w:t>Composição do Conjunto e Unidade de Fornecimento:</w:t>
            </w:r>
            <w:r w:rsidR="00DD3A72">
              <w:rPr>
                <w:rFonts w:ascii="Arial" w:eastAsia="Arial" w:hAnsi="Arial" w:cs="Arial"/>
                <w:sz w:val="16"/>
                <w:szCs w:val="16"/>
              </w:rPr>
              <w:t xml:space="preserve"> </w:t>
            </w:r>
            <w:r>
              <w:rPr>
                <w:rFonts w:ascii="Arial" w:eastAsia="Arial" w:hAnsi="Arial" w:cs="Arial"/>
                <w:sz w:val="16"/>
                <w:szCs w:val="16"/>
              </w:rPr>
              <w:t>Unidade de Fornecimento: 1 (um) Kit/Conjunto.</w:t>
            </w:r>
            <w:r w:rsidR="00DD3A72">
              <w:rPr>
                <w:rFonts w:ascii="Arial" w:eastAsia="Arial" w:hAnsi="Arial" w:cs="Arial"/>
                <w:sz w:val="16"/>
                <w:szCs w:val="16"/>
              </w:rPr>
              <w:t xml:space="preserve"> </w:t>
            </w:r>
            <w:r>
              <w:rPr>
                <w:rFonts w:ascii="Arial" w:eastAsia="Arial" w:hAnsi="Arial" w:cs="Arial"/>
                <w:sz w:val="16"/>
                <w:szCs w:val="16"/>
              </w:rPr>
              <w:t>Itens Inclusos no Conjunto: 2 (dois) refletores Moving Head Beam 250W, 1 (um) Hard Case duplo de transporte, 2 (dois) cabos de alimentação de energia, 4 (quatro) alças/suportes (ômegas) para fixação em treliças e manual de instruções.</w:t>
            </w:r>
          </w:p>
        </w:tc>
        <w:tc>
          <w:tcPr>
            <w:tcW w:w="992" w:type="dxa"/>
            <w:tcBorders>
              <w:top w:val="single" w:sz="4" w:space="0" w:color="000000"/>
              <w:left w:val="single" w:sz="4" w:space="0" w:color="000000"/>
              <w:bottom w:val="single" w:sz="4" w:space="0" w:color="000000"/>
              <w:right w:val="single" w:sz="4" w:space="0" w:color="000000"/>
            </w:tcBorders>
            <w:vAlign w:val="center"/>
          </w:tcPr>
          <w:p w14:paraId="11A7BA76" w14:textId="77777777" w:rsidR="00276BB0" w:rsidRDefault="00276BB0" w:rsidP="00DD3A72">
            <w:pPr>
              <w:spacing w:after="0" w:line="240" w:lineRule="auto"/>
              <w:jc w:val="center"/>
              <w:rPr>
                <w:rFonts w:ascii="Arial" w:eastAsia="Arial" w:hAnsi="Arial" w:cs="Arial"/>
                <w:sz w:val="16"/>
                <w:szCs w:val="16"/>
              </w:rPr>
            </w:pPr>
          </w:p>
          <w:p w14:paraId="5254F93B" w14:textId="58802F45" w:rsidR="00896AAF" w:rsidRDefault="00896AAF" w:rsidP="00DD3A72">
            <w:pPr>
              <w:spacing w:after="0" w:line="240" w:lineRule="auto"/>
              <w:jc w:val="center"/>
              <w:rPr>
                <w:rFonts w:ascii="Arial" w:eastAsia="Arial" w:hAnsi="Arial" w:cs="Arial"/>
                <w:sz w:val="16"/>
                <w:szCs w:val="16"/>
              </w:rPr>
            </w:pPr>
            <w:r w:rsidRPr="00896AAF">
              <w:rPr>
                <w:rFonts w:ascii="Arial" w:eastAsia="Arial" w:hAnsi="Arial" w:cs="Arial"/>
                <w:sz w:val="16"/>
                <w:szCs w:val="16"/>
              </w:rPr>
              <w:t>481675</w:t>
            </w:r>
          </w:p>
        </w:tc>
        <w:tc>
          <w:tcPr>
            <w:tcW w:w="851" w:type="dxa"/>
            <w:tcBorders>
              <w:top w:val="single" w:sz="4" w:space="0" w:color="000000"/>
              <w:left w:val="single" w:sz="4" w:space="0" w:color="000000"/>
              <w:bottom w:val="single" w:sz="4" w:space="0" w:color="000000"/>
              <w:right w:val="single" w:sz="4" w:space="0" w:color="000000"/>
            </w:tcBorders>
            <w:vAlign w:val="center"/>
          </w:tcPr>
          <w:p w14:paraId="20EA2D18" w14:textId="77777777" w:rsidR="00276BB0" w:rsidRDefault="00276BB0" w:rsidP="00DD3A72">
            <w:pPr>
              <w:spacing w:after="0" w:line="240" w:lineRule="auto"/>
              <w:jc w:val="center"/>
              <w:rPr>
                <w:rFonts w:ascii="Arial" w:eastAsia="Arial" w:hAnsi="Arial" w:cs="Arial"/>
                <w:sz w:val="16"/>
                <w:szCs w:val="16"/>
              </w:rPr>
            </w:pPr>
          </w:p>
          <w:p w14:paraId="52D0B155" w14:textId="77777777" w:rsidR="00276BB0" w:rsidRDefault="00000000" w:rsidP="00DD3A72">
            <w:pPr>
              <w:spacing w:after="0" w:line="240" w:lineRule="auto"/>
              <w:jc w:val="center"/>
              <w:rPr>
                <w:rFonts w:ascii="Arial" w:eastAsia="Arial" w:hAnsi="Arial" w:cs="Arial"/>
                <w:sz w:val="16"/>
                <w:szCs w:val="16"/>
              </w:rPr>
            </w:pPr>
            <w:r>
              <w:rPr>
                <w:rFonts w:ascii="Arial" w:eastAsia="Arial" w:hAnsi="Arial" w:cs="Arial"/>
                <w:sz w:val="16"/>
                <w:szCs w:val="16"/>
              </w:rPr>
              <w:t>KIT</w:t>
            </w:r>
          </w:p>
        </w:tc>
        <w:tc>
          <w:tcPr>
            <w:tcW w:w="709" w:type="dxa"/>
            <w:tcBorders>
              <w:top w:val="single" w:sz="4" w:space="0" w:color="000000"/>
              <w:left w:val="single" w:sz="4" w:space="0" w:color="000000"/>
              <w:bottom w:val="single" w:sz="4" w:space="0" w:color="000000"/>
              <w:right w:val="single" w:sz="4" w:space="0" w:color="000000"/>
            </w:tcBorders>
            <w:vAlign w:val="center"/>
          </w:tcPr>
          <w:p w14:paraId="761A2A1A" w14:textId="77777777" w:rsidR="00DD3A72" w:rsidRDefault="00DD3A72" w:rsidP="00DD3A72">
            <w:pPr>
              <w:spacing w:after="0" w:line="240" w:lineRule="auto"/>
              <w:jc w:val="center"/>
              <w:rPr>
                <w:rFonts w:ascii="Arial" w:eastAsia="Arial" w:hAnsi="Arial" w:cs="Arial"/>
                <w:sz w:val="16"/>
                <w:szCs w:val="16"/>
              </w:rPr>
            </w:pPr>
          </w:p>
          <w:p w14:paraId="2B2FEBE3" w14:textId="3C99DF59" w:rsidR="00276BB0" w:rsidRDefault="00000000" w:rsidP="00DD3A72">
            <w:pPr>
              <w:spacing w:after="0" w:line="240" w:lineRule="auto"/>
              <w:jc w:val="center"/>
              <w:rPr>
                <w:rFonts w:ascii="Arial" w:eastAsia="Arial" w:hAnsi="Arial" w:cs="Arial"/>
                <w:sz w:val="16"/>
                <w:szCs w:val="16"/>
              </w:rPr>
            </w:pPr>
            <w:r>
              <w:rPr>
                <w:rFonts w:ascii="Arial" w:eastAsia="Arial" w:hAnsi="Arial" w:cs="Arial"/>
                <w:sz w:val="16"/>
                <w:szCs w:val="16"/>
              </w:rPr>
              <w:t>02</w:t>
            </w:r>
          </w:p>
        </w:tc>
        <w:tc>
          <w:tcPr>
            <w:tcW w:w="1281" w:type="dxa"/>
            <w:tcBorders>
              <w:top w:val="single" w:sz="4" w:space="0" w:color="000000"/>
              <w:left w:val="single" w:sz="4" w:space="0" w:color="000000"/>
              <w:bottom w:val="single" w:sz="4" w:space="0" w:color="000000"/>
              <w:right w:val="single" w:sz="4" w:space="0" w:color="000000"/>
            </w:tcBorders>
            <w:vAlign w:val="center"/>
          </w:tcPr>
          <w:p w14:paraId="4A5A199F" w14:textId="77777777" w:rsidR="00896AAF" w:rsidRDefault="00896AAF" w:rsidP="00DD3A72">
            <w:pPr>
              <w:spacing w:after="0" w:line="240" w:lineRule="auto"/>
              <w:jc w:val="center"/>
              <w:rPr>
                <w:rFonts w:ascii="Arial" w:eastAsia="Arial" w:hAnsi="Arial" w:cs="Arial"/>
                <w:sz w:val="16"/>
                <w:szCs w:val="16"/>
              </w:rPr>
            </w:pPr>
          </w:p>
          <w:p w14:paraId="68792D6B" w14:textId="28329270" w:rsidR="00276BB0" w:rsidRDefault="00896AAF" w:rsidP="00DD3A72">
            <w:pPr>
              <w:spacing w:after="0" w:line="240" w:lineRule="auto"/>
              <w:jc w:val="center"/>
              <w:rPr>
                <w:rFonts w:ascii="Arial" w:eastAsia="Arial" w:hAnsi="Arial" w:cs="Arial"/>
                <w:sz w:val="16"/>
                <w:szCs w:val="16"/>
              </w:rPr>
            </w:pPr>
            <w:r w:rsidRPr="00896AAF">
              <w:rPr>
                <w:rFonts w:ascii="Arial" w:eastAsia="Arial" w:hAnsi="Arial" w:cs="Arial"/>
                <w:sz w:val="16"/>
                <w:szCs w:val="16"/>
              </w:rPr>
              <w:t>R$ 5.342</w:t>
            </w:r>
            <w:r w:rsidR="00956B32">
              <w:rPr>
                <w:rFonts w:ascii="Arial" w:eastAsia="Arial" w:hAnsi="Arial" w:cs="Arial"/>
                <w:sz w:val="16"/>
                <w:szCs w:val="16"/>
              </w:rPr>
              <w:t>,</w:t>
            </w:r>
            <w:r w:rsidRPr="00896AAF">
              <w:rPr>
                <w:rFonts w:ascii="Arial" w:eastAsia="Arial" w:hAnsi="Arial" w:cs="Arial"/>
                <w:sz w:val="16"/>
                <w:szCs w:val="16"/>
              </w:rPr>
              <w:t>68</w:t>
            </w:r>
          </w:p>
        </w:tc>
        <w:tc>
          <w:tcPr>
            <w:tcW w:w="1417" w:type="dxa"/>
            <w:tcBorders>
              <w:top w:val="single" w:sz="4" w:space="0" w:color="000000"/>
              <w:left w:val="single" w:sz="4" w:space="0" w:color="000000"/>
              <w:bottom w:val="single" w:sz="4" w:space="0" w:color="000000"/>
              <w:right w:val="single" w:sz="4" w:space="0" w:color="000000"/>
            </w:tcBorders>
            <w:vAlign w:val="center"/>
          </w:tcPr>
          <w:p w14:paraId="194D9BE5" w14:textId="77777777" w:rsidR="00896AAF" w:rsidRDefault="00896AAF" w:rsidP="00DD3A72">
            <w:pPr>
              <w:spacing w:after="0" w:line="240" w:lineRule="auto"/>
              <w:jc w:val="center"/>
              <w:rPr>
                <w:rFonts w:ascii="Arial" w:eastAsia="Arial" w:hAnsi="Arial" w:cs="Arial"/>
                <w:sz w:val="16"/>
                <w:szCs w:val="16"/>
              </w:rPr>
            </w:pPr>
          </w:p>
          <w:p w14:paraId="0BD0466E" w14:textId="37F6FCD0" w:rsidR="00276BB0" w:rsidRDefault="00896AAF" w:rsidP="00DD3A72">
            <w:pPr>
              <w:spacing w:after="0" w:line="240" w:lineRule="auto"/>
              <w:jc w:val="center"/>
              <w:rPr>
                <w:rFonts w:ascii="Arial" w:eastAsia="Arial" w:hAnsi="Arial" w:cs="Arial"/>
                <w:sz w:val="16"/>
                <w:szCs w:val="16"/>
              </w:rPr>
            </w:pPr>
            <w:r>
              <w:rPr>
                <w:rFonts w:ascii="Arial" w:eastAsia="Arial" w:hAnsi="Arial" w:cs="Arial"/>
                <w:sz w:val="16"/>
                <w:szCs w:val="16"/>
              </w:rPr>
              <w:t>R$ 10.685,36</w:t>
            </w:r>
          </w:p>
        </w:tc>
        <w:tc>
          <w:tcPr>
            <w:tcW w:w="1985" w:type="dxa"/>
            <w:tcBorders>
              <w:top w:val="single" w:sz="4" w:space="0" w:color="000000"/>
              <w:left w:val="single" w:sz="4" w:space="0" w:color="000000"/>
              <w:bottom w:val="single" w:sz="4" w:space="0" w:color="000000"/>
              <w:right w:val="single" w:sz="4" w:space="0" w:color="000000"/>
            </w:tcBorders>
            <w:vAlign w:val="center"/>
          </w:tcPr>
          <w:p w14:paraId="502A944B" w14:textId="77777777" w:rsidR="00276BB0" w:rsidRDefault="00000000">
            <w:pPr>
              <w:spacing w:after="0" w:line="240" w:lineRule="auto"/>
              <w:rPr>
                <w:rFonts w:ascii="Arial" w:eastAsia="Arial" w:hAnsi="Arial" w:cs="Arial"/>
                <w:sz w:val="16"/>
                <w:szCs w:val="16"/>
              </w:rPr>
            </w:pPr>
            <w:r>
              <w:rPr>
                <w:rFonts w:ascii="Arial" w:eastAsia="Arial" w:hAnsi="Arial" w:cs="Arial"/>
                <w:noProof/>
                <w:sz w:val="16"/>
                <w:szCs w:val="16"/>
              </w:rPr>
              <w:drawing>
                <wp:inline distT="114300" distB="114300" distL="114300" distR="114300" wp14:anchorId="48668C9E" wp14:editId="212D52AE">
                  <wp:extent cx="1162050" cy="1168400"/>
                  <wp:effectExtent l="0" t="0" r="0" b="0"/>
                  <wp:docPr id="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9"/>
                          <a:srcRect/>
                          <a:stretch>
                            <a:fillRect/>
                          </a:stretch>
                        </pic:blipFill>
                        <pic:spPr>
                          <a:xfrm>
                            <a:off x="0" y="0"/>
                            <a:ext cx="1162050" cy="1168400"/>
                          </a:xfrm>
                          <a:prstGeom prst="rect">
                            <a:avLst/>
                          </a:prstGeom>
                          <a:ln/>
                        </pic:spPr>
                      </pic:pic>
                    </a:graphicData>
                  </a:graphic>
                </wp:inline>
              </w:drawing>
            </w:r>
          </w:p>
        </w:tc>
      </w:tr>
      <w:tr w:rsidR="00276BB0" w14:paraId="6CFD43BF" w14:textId="77777777">
        <w:trPr>
          <w:trHeight w:val="330"/>
        </w:trPr>
        <w:tc>
          <w:tcPr>
            <w:tcW w:w="704" w:type="dxa"/>
            <w:tcBorders>
              <w:top w:val="single" w:sz="4" w:space="0" w:color="000000"/>
              <w:left w:val="single" w:sz="4" w:space="0" w:color="000000"/>
              <w:bottom w:val="single" w:sz="4" w:space="0" w:color="000000"/>
              <w:right w:val="single" w:sz="4" w:space="0" w:color="000000"/>
            </w:tcBorders>
            <w:vAlign w:val="center"/>
          </w:tcPr>
          <w:p w14:paraId="56876326" w14:textId="456FAA70" w:rsidR="00276BB0" w:rsidRDefault="00896AAF" w:rsidP="00896AAF">
            <w:pPr>
              <w:spacing w:after="0" w:line="240" w:lineRule="auto"/>
              <w:jc w:val="center"/>
              <w:rPr>
                <w:rFonts w:ascii="Arial" w:eastAsia="Arial" w:hAnsi="Arial" w:cs="Arial"/>
                <w:sz w:val="16"/>
                <w:szCs w:val="16"/>
              </w:rPr>
            </w:pPr>
            <w:r>
              <w:rPr>
                <w:rFonts w:ascii="Arial" w:eastAsia="Arial" w:hAnsi="Arial" w:cs="Arial"/>
                <w:sz w:val="16"/>
                <w:szCs w:val="16"/>
              </w:rPr>
              <w:t>03</w:t>
            </w:r>
          </w:p>
        </w:tc>
        <w:tc>
          <w:tcPr>
            <w:tcW w:w="3549" w:type="dxa"/>
            <w:tcBorders>
              <w:top w:val="single" w:sz="4" w:space="0" w:color="000000"/>
              <w:left w:val="single" w:sz="4" w:space="0" w:color="000000"/>
              <w:bottom w:val="single" w:sz="4" w:space="0" w:color="000000"/>
              <w:right w:val="single" w:sz="4" w:space="0" w:color="000000"/>
            </w:tcBorders>
            <w:vAlign w:val="center"/>
          </w:tcPr>
          <w:p w14:paraId="54988E83" w14:textId="062CDA1A" w:rsidR="00276BB0" w:rsidRDefault="00000000" w:rsidP="00896AAF">
            <w:pPr>
              <w:spacing w:after="0" w:line="240" w:lineRule="auto"/>
              <w:jc w:val="both"/>
              <w:rPr>
                <w:rFonts w:ascii="Arial" w:eastAsia="Arial" w:hAnsi="Arial" w:cs="Arial"/>
                <w:sz w:val="16"/>
                <w:szCs w:val="16"/>
              </w:rPr>
            </w:pPr>
            <w:r>
              <w:rPr>
                <w:rFonts w:ascii="Arial" w:eastAsia="Arial" w:hAnsi="Arial" w:cs="Arial"/>
                <w:b/>
                <w:bCs/>
                <w:sz w:val="16"/>
                <w:szCs w:val="16"/>
              </w:rPr>
              <w:t xml:space="preserve">PAR LED SLIM RGBWA+UV 18X18W. </w:t>
            </w:r>
            <w:r>
              <w:rPr>
                <w:rFonts w:ascii="Arial" w:eastAsia="Arial" w:hAnsi="Arial" w:cs="Arial"/>
                <w:sz w:val="16"/>
                <w:szCs w:val="16"/>
              </w:rPr>
              <w:t>Características mínimas: Fonte de Luz: Sistema composto por 18 (dezoito) peças de LED com potência de 18W cada.</w:t>
            </w:r>
            <w:r w:rsidR="00896AAF">
              <w:rPr>
                <w:rFonts w:ascii="Arial" w:eastAsia="Arial" w:hAnsi="Arial" w:cs="Arial"/>
                <w:sz w:val="16"/>
                <w:szCs w:val="16"/>
              </w:rPr>
              <w:t xml:space="preserve"> </w:t>
            </w:r>
            <w:r>
              <w:rPr>
                <w:rFonts w:ascii="Arial" w:eastAsia="Arial" w:hAnsi="Arial" w:cs="Arial"/>
                <w:sz w:val="16"/>
                <w:szCs w:val="16"/>
              </w:rPr>
              <w:t>Sistema de Cores (Mistura): Tecnologia de LED "6 em 1", englobando obrigatoriamente as cores RGBWA+UV (Vermelho, Verde, Azul, Branco, Âmbar e Ultravioleta/Luz Negra) no mesmo diodo.</w:t>
            </w:r>
            <w:r w:rsidR="00896AAF">
              <w:rPr>
                <w:rFonts w:ascii="Arial" w:eastAsia="Arial" w:hAnsi="Arial" w:cs="Arial"/>
                <w:sz w:val="16"/>
                <w:szCs w:val="16"/>
              </w:rPr>
              <w:t xml:space="preserve"> </w:t>
            </w:r>
            <w:r>
              <w:rPr>
                <w:rFonts w:ascii="Arial" w:eastAsia="Arial" w:hAnsi="Arial" w:cs="Arial"/>
                <w:sz w:val="16"/>
                <w:szCs w:val="16"/>
              </w:rPr>
              <w:t>Potência/Consumo Total: Consumo máximo de energia de 220W por unidade.</w:t>
            </w:r>
            <w:r w:rsidR="00896AAF">
              <w:rPr>
                <w:rFonts w:ascii="Arial" w:eastAsia="Arial" w:hAnsi="Arial" w:cs="Arial"/>
                <w:sz w:val="16"/>
                <w:szCs w:val="16"/>
              </w:rPr>
              <w:t xml:space="preserve"> </w:t>
            </w:r>
            <w:r>
              <w:rPr>
                <w:rFonts w:ascii="Arial" w:eastAsia="Arial" w:hAnsi="Arial" w:cs="Arial"/>
                <w:sz w:val="16"/>
                <w:szCs w:val="16"/>
              </w:rPr>
              <w:t>Canais de Controle: Operação configurável para operar em 6 ou 10 canais de controle.</w:t>
            </w:r>
            <w:r w:rsidR="00896AAF">
              <w:rPr>
                <w:rFonts w:ascii="Arial" w:eastAsia="Arial" w:hAnsi="Arial" w:cs="Arial"/>
                <w:sz w:val="16"/>
                <w:szCs w:val="16"/>
              </w:rPr>
              <w:t xml:space="preserve"> </w:t>
            </w:r>
            <w:r>
              <w:rPr>
                <w:rFonts w:ascii="Arial" w:eastAsia="Arial" w:hAnsi="Arial" w:cs="Arial"/>
                <w:sz w:val="16"/>
                <w:szCs w:val="16"/>
              </w:rPr>
              <w:t>Modos de Operação: Compatível com protocolo DMX512, modo Automático, modo de Ativação por Som (microfone embutido) e modo Master/Slave (Mestre-escravo).</w:t>
            </w:r>
            <w:r w:rsidR="00896AAF">
              <w:rPr>
                <w:rFonts w:ascii="Arial" w:eastAsia="Arial" w:hAnsi="Arial" w:cs="Arial"/>
                <w:sz w:val="16"/>
                <w:szCs w:val="16"/>
              </w:rPr>
              <w:t xml:space="preserve"> </w:t>
            </w:r>
            <w:r>
              <w:rPr>
                <w:rFonts w:ascii="Arial" w:eastAsia="Arial" w:hAnsi="Arial" w:cs="Arial"/>
                <w:sz w:val="16"/>
                <w:szCs w:val="16"/>
              </w:rPr>
              <w:t>Alimentação Elétrica: Tensão Bivolt automático (AC 110-220V), frequência de 50/60Hz.</w:t>
            </w:r>
            <w:r w:rsidR="00896AAF">
              <w:rPr>
                <w:rFonts w:ascii="Arial" w:eastAsia="Arial" w:hAnsi="Arial" w:cs="Arial"/>
                <w:sz w:val="16"/>
                <w:szCs w:val="16"/>
              </w:rPr>
              <w:t xml:space="preserve"> </w:t>
            </w:r>
            <w:r>
              <w:rPr>
                <w:rFonts w:ascii="Arial" w:eastAsia="Arial" w:hAnsi="Arial" w:cs="Arial"/>
                <w:sz w:val="16"/>
                <w:szCs w:val="16"/>
              </w:rPr>
              <w:t>Acessórios Obrigatórios (por refletor): Cada equipamento deve acompanhar alça dupla (braço) para fixação em estruturas ou apoio no chão, parafusos de ajuste e cabo de energia (AC).</w:t>
            </w:r>
            <w:r w:rsidR="00896AAF">
              <w:rPr>
                <w:rFonts w:ascii="Arial" w:eastAsia="Arial" w:hAnsi="Arial" w:cs="Arial"/>
                <w:sz w:val="16"/>
                <w:szCs w:val="16"/>
              </w:rPr>
              <w:t xml:space="preserve"> </w:t>
            </w:r>
            <w:r>
              <w:rPr>
                <w:rFonts w:ascii="Arial" w:eastAsia="Arial" w:hAnsi="Arial" w:cs="Arial"/>
                <w:sz w:val="16"/>
                <w:szCs w:val="16"/>
              </w:rPr>
              <w:t>Especificações do Estojo de Transporte (Hard Case Múltiplo):</w:t>
            </w:r>
            <w:r w:rsidR="00896AAF">
              <w:rPr>
                <w:rFonts w:ascii="Arial" w:eastAsia="Arial" w:hAnsi="Arial" w:cs="Arial"/>
                <w:sz w:val="16"/>
                <w:szCs w:val="16"/>
              </w:rPr>
              <w:t xml:space="preserve"> </w:t>
            </w:r>
            <w:r>
              <w:rPr>
                <w:rFonts w:ascii="Arial" w:eastAsia="Arial" w:hAnsi="Arial" w:cs="Arial"/>
                <w:sz w:val="16"/>
                <w:szCs w:val="16"/>
              </w:rPr>
              <w:t>Capacidade: Projetado especificamente para acomodar de forma segura 10 (dez) unidades do Refletor PAR LED Slim especificado acima, além de espaço livre ou compartimento dedicado para cabos e garras.</w:t>
            </w:r>
            <w:r w:rsidR="00896AAF">
              <w:rPr>
                <w:rFonts w:ascii="Arial" w:eastAsia="Arial" w:hAnsi="Arial" w:cs="Arial"/>
                <w:sz w:val="16"/>
                <w:szCs w:val="16"/>
              </w:rPr>
              <w:t xml:space="preserve"> </w:t>
            </w:r>
            <w:r>
              <w:rPr>
                <w:rFonts w:ascii="Arial" w:eastAsia="Arial" w:hAnsi="Arial" w:cs="Arial"/>
                <w:sz w:val="16"/>
                <w:szCs w:val="16"/>
              </w:rPr>
              <w:t>Construção Externa: Estrutura fabricada em madeira compensada de alta densidade revestida ou material termoplástico rígido resistente a impactos. Deve possuir perfis de encaixe em alumínio e cantoneiras esféricas de proteção em metal (aço ou ferro zincado).</w:t>
            </w:r>
          </w:p>
          <w:p w14:paraId="05ECDCE6" w14:textId="6A243AC0" w:rsidR="00276BB0" w:rsidRDefault="00000000" w:rsidP="00896AAF">
            <w:pPr>
              <w:spacing w:after="0" w:line="240" w:lineRule="auto"/>
              <w:jc w:val="both"/>
              <w:rPr>
                <w:rFonts w:ascii="Arial" w:eastAsia="Arial" w:hAnsi="Arial" w:cs="Arial"/>
                <w:sz w:val="16"/>
                <w:szCs w:val="16"/>
              </w:rPr>
            </w:pPr>
            <w:r>
              <w:rPr>
                <w:rFonts w:ascii="Arial" w:eastAsia="Arial" w:hAnsi="Arial" w:cs="Arial"/>
                <w:sz w:val="16"/>
                <w:szCs w:val="16"/>
              </w:rPr>
              <w:t xml:space="preserve">Proteção Interna: Revestimento interno em </w:t>
            </w:r>
            <w:r>
              <w:rPr>
                <w:rFonts w:ascii="Arial" w:eastAsia="Arial" w:hAnsi="Arial" w:cs="Arial"/>
                <w:sz w:val="16"/>
                <w:szCs w:val="16"/>
              </w:rPr>
              <w:lastRenderedPageBreak/>
              <w:t>espuma de alta densidade (tipo Ethafoam, EVA ou similar). O interior deve possuir divisórias individuais (formato "colmeia") moldadas sob medida, garantindo que os refletores não sofram atrito entre si durante o transporte.</w:t>
            </w:r>
            <w:r w:rsidR="00896AAF">
              <w:rPr>
                <w:rFonts w:ascii="Arial" w:eastAsia="Arial" w:hAnsi="Arial" w:cs="Arial"/>
                <w:sz w:val="16"/>
                <w:szCs w:val="16"/>
              </w:rPr>
              <w:t xml:space="preserve"> </w:t>
            </w:r>
            <w:r>
              <w:rPr>
                <w:rFonts w:ascii="Arial" w:eastAsia="Arial" w:hAnsi="Arial" w:cs="Arial"/>
                <w:sz w:val="16"/>
                <w:szCs w:val="16"/>
              </w:rPr>
              <w:t>Ferragens e Locomoção: Deve possuir fechos de engate rápido e seguro (tipo borboleta) com suporte para cadeado, alças embutidas com mola (retráteis) nas laterais e base equipada com 4 (quatro) rodízios giratórios de alta resistência, sendo no mínimo 2 (dois) com sistema de freio/trava.</w:t>
            </w:r>
            <w:r w:rsidR="00896AAF">
              <w:rPr>
                <w:rFonts w:ascii="Arial" w:eastAsia="Arial" w:hAnsi="Arial" w:cs="Arial"/>
                <w:sz w:val="16"/>
                <w:szCs w:val="16"/>
              </w:rPr>
              <w:t xml:space="preserve"> </w:t>
            </w:r>
            <w:r>
              <w:rPr>
                <w:rFonts w:ascii="Arial" w:eastAsia="Arial" w:hAnsi="Arial" w:cs="Arial"/>
                <w:sz w:val="16"/>
                <w:szCs w:val="16"/>
              </w:rPr>
              <w:t>Composição do Conjunto e Unidade de Fornecimento:</w:t>
            </w:r>
            <w:r w:rsidR="00896AAF">
              <w:rPr>
                <w:rFonts w:ascii="Arial" w:eastAsia="Arial" w:hAnsi="Arial" w:cs="Arial"/>
                <w:sz w:val="16"/>
                <w:szCs w:val="16"/>
              </w:rPr>
              <w:t xml:space="preserve"> </w:t>
            </w:r>
            <w:r>
              <w:rPr>
                <w:rFonts w:ascii="Arial" w:eastAsia="Arial" w:hAnsi="Arial" w:cs="Arial"/>
                <w:sz w:val="16"/>
                <w:szCs w:val="16"/>
              </w:rPr>
              <w:t>Unidade de Fornecimento: 1 (um) Kit/Conjunto.</w:t>
            </w:r>
            <w:r w:rsidR="00896AAF">
              <w:rPr>
                <w:rFonts w:ascii="Arial" w:eastAsia="Arial" w:hAnsi="Arial" w:cs="Arial"/>
                <w:sz w:val="16"/>
                <w:szCs w:val="16"/>
              </w:rPr>
              <w:t xml:space="preserve"> </w:t>
            </w:r>
            <w:r>
              <w:rPr>
                <w:rFonts w:ascii="Arial" w:eastAsia="Arial" w:hAnsi="Arial" w:cs="Arial"/>
                <w:sz w:val="16"/>
                <w:szCs w:val="16"/>
              </w:rPr>
              <w:t>Itens Inclusos no Conjunto: 10 (dez) refletores PAR LED Slim 18x18W (RGBWA+UV), 1 (um) Hard Case múltiplo de transporte com divisórias, 10 (dez) cabos de alimentação de energia e manuais de instruções.</w:t>
            </w:r>
          </w:p>
        </w:tc>
        <w:tc>
          <w:tcPr>
            <w:tcW w:w="992" w:type="dxa"/>
            <w:tcBorders>
              <w:top w:val="single" w:sz="4" w:space="0" w:color="000000"/>
              <w:left w:val="single" w:sz="4" w:space="0" w:color="000000"/>
              <w:bottom w:val="single" w:sz="4" w:space="0" w:color="000000"/>
              <w:right w:val="single" w:sz="4" w:space="0" w:color="000000"/>
            </w:tcBorders>
            <w:vAlign w:val="center"/>
          </w:tcPr>
          <w:p w14:paraId="6AE3099E" w14:textId="2A6E809A" w:rsidR="00276BB0" w:rsidRDefault="00616D2F" w:rsidP="00896AAF">
            <w:pPr>
              <w:spacing w:after="0" w:line="240" w:lineRule="auto"/>
              <w:jc w:val="center"/>
              <w:rPr>
                <w:rFonts w:ascii="Arial" w:eastAsia="Arial" w:hAnsi="Arial" w:cs="Arial"/>
                <w:sz w:val="16"/>
                <w:szCs w:val="16"/>
              </w:rPr>
            </w:pPr>
            <w:r w:rsidRPr="00616D2F">
              <w:rPr>
                <w:rFonts w:ascii="Arial" w:eastAsia="Arial" w:hAnsi="Arial" w:cs="Arial"/>
                <w:sz w:val="16"/>
                <w:szCs w:val="16"/>
              </w:rPr>
              <w:lastRenderedPageBreak/>
              <w:t>612401</w:t>
            </w:r>
          </w:p>
        </w:tc>
        <w:tc>
          <w:tcPr>
            <w:tcW w:w="851" w:type="dxa"/>
            <w:tcBorders>
              <w:top w:val="single" w:sz="4" w:space="0" w:color="000000"/>
              <w:left w:val="single" w:sz="4" w:space="0" w:color="000000"/>
              <w:bottom w:val="single" w:sz="4" w:space="0" w:color="000000"/>
              <w:right w:val="single" w:sz="4" w:space="0" w:color="000000"/>
            </w:tcBorders>
            <w:vAlign w:val="center"/>
          </w:tcPr>
          <w:p w14:paraId="22F4D6BB" w14:textId="77777777" w:rsidR="00276BB0" w:rsidRDefault="00000000" w:rsidP="00616D2F">
            <w:pPr>
              <w:spacing w:after="0" w:line="240" w:lineRule="auto"/>
              <w:jc w:val="center"/>
              <w:rPr>
                <w:rFonts w:ascii="Arial" w:eastAsia="Arial" w:hAnsi="Arial" w:cs="Arial"/>
                <w:sz w:val="16"/>
                <w:szCs w:val="16"/>
              </w:rPr>
            </w:pPr>
            <w:r>
              <w:rPr>
                <w:rFonts w:ascii="Arial" w:eastAsia="Arial" w:hAnsi="Arial" w:cs="Arial"/>
                <w:sz w:val="16"/>
                <w:szCs w:val="16"/>
              </w:rPr>
              <w:t>KIT</w:t>
            </w:r>
          </w:p>
        </w:tc>
        <w:tc>
          <w:tcPr>
            <w:tcW w:w="709" w:type="dxa"/>
            <w:tcBorders>
              <w:top w:val="single" w:sz="4" w:space="0" w:color="000000"/>
              <w:left w:val="single" w:sz="4" w:space="0" w:color="000000"/>
              <w:bottom w:val="single" w:sz="4" w:space="0" w:color="000000"/>
              <w:right w:val="single" w:sz="4" w:space="0" w:color="000000"/>
            </w:tcBorders>
            <w:vAlign w:val="center"/>
          </w:tcPr>
          <w:p w14:paraId="25DE7FCE" w14:textId="77777777" w:rsidR="00276BB0" w:rsidRDefault="00000000" w:rsidP="00616D2F">
            <w:pPr>
              <w:spacing w:after="0" w:line="240" w:lineRule="auto"/>
              <w:jc w:val="center"/>
              <w:rPr>
                <w:rFonts w:ascii="Arial" w:eastAsia="Arial" w:hAnsi="Arial" w:cs="Arial"/>
                <w:sz w:val="16"/>
                <w:szCs w:val="16"/>
              </w:rPr>
            </w:pPr>
            <w:r>
              <w:rPr>
                <w:rFonts w:ascii="Arial" w:eastAsia="Arial" w:hAnsi="Arial" w:cs="Arial"/>
                <w:sz w:val="16"/>
                <w:szCs w:val="16"/>
              </w:rPr>
              <w:t>01</w:t>
            </w:r>
          </w:p>
        </w:tc>
        <w:tc>
          <w:tcPr>
            <w:tcW w:w="1281" w:type="dxa"/>
            <w:tcBorders>
              <w:top w:val="single" w:sz="4" w:space="0" w:color="000000"/>
              <w:left w:val="single" w:sz="4" w:space="0" w:color="000000"/>
              <w:bottom w:val="single" w:sz="4" w:space="0" w:color="000000"/>
              <w:right w:val="single" w:sz="4" w:space="0" w:color="000000"/>
            </w:tcBorders>
            <w:vAlign w:val="center"/>
          </w:tcPr>
          <w:p w14:paraId="63D9BA54" w14:textId="0A59253F" w:rsidR="00276BB0" w:rsidRDefault="00616D2F" w:rsidP="00616D2F">
            <w:pPr>
              <w:spacing w:after="0" w:line="240" w:lineRule="auto"/>
              <w:jc w:val="center"/>
              <w:rPr>
                <w:rFonts w:ascii="Arial" w:eastAsia="Arial" w:hAnsi="Arial" w:cs="Arial"/>
                <w:sz w:val="16"/>
                <w:szCs w:val="16"/>
              </w:rPr>
            </w:pPr>
            <w:r w:rsidRPr="00616D2F">
              <w:rPr>
                <w:rFonts w:ascii="Arial" w:eastAsia="Arial" w:hAnsi="Arial" w:cs="Arial"/>
                <w:sz w:val="16"/>
                <w:szCs w:val="16"/>
              </w:rPr>
              <w:t>R$ 3.485</w:t>
            </w:r>
            <w:r w:rsidR="00956B32">
              <w:rPr>
                <w:rFonts w:ascii="Arial" w:eastAsia="Arial" w:hAnsi="Arial" w:cs="Arial"/>
                <w:sz w:val="16"/>
                <w:szCs w:val="16"/>
              </w:rPr>
              <w:t>,</w:t>
            </w:r>
            <w:r w:rsidRPr="00616D2F">
              <w:rPr>
                <w:rFonts w:ascii="Arial" w:eastAsia="Arial" w:hAnsi="Arial" w:cs="Arial"/>
                <w:sz w:val="16"/>
                <w:szCs w:val="16"/>
              </w:rPr>
              <w:t>6667</w:t>
            </w:r>
          </w:p>
        </w:tc>
        <w:tc>
          <w:tcPr>
            <w:tcW w:w="1417" w:type="dxa"/>
            <w:tcBorders>
              <w:top w:val="single" w:sz="4" w:space="0" w:color="000000"/>
              <w:left w:val="single" w:sz="4" w:space="0" w:color="000000"/>
              <w:bottom w:val="single" w:sz="4" w:space="0" w:color="000000"/>
              <w:right w:val="single" w:sz="4" w:space="0" w:color="000000"/>
            </w:tcBorders>
            <w:vAlign w:val="center"/>
          </w:tcPr>
          <w:p w14:paraId="32CE2712" w14:textId="4540344E" w:rsidR="00276BB0" w:rsidRDefault="00616D2F" w:rsidP="00616D2F">
            <w:pPr>
              <w:spacing w:after="0" w:line="240" w:lineRule="auto"/>
              <w:jc w:val="center"/>
              <w:rPr>
                <w:rFonts w:ascii="Arial" w:eastAsia="Arial" w:hAnsi="Arial" w:cs="Arial"/>
                <w:sz w:val="16"/>
                <w:szCs w:val="16"/>
              </w:rPr>
            </w:pPr>
            <w:r w:rsidRPr="00616D2F">
              <w:rPr>
                <w:rFonts w:ascii="Arial" w:eastAsia="Arial" w:hAnsi="Arial" w:cs="Arial"/>
                <w:sz w:val="16"/>
                <w:szCs w:val="16"/>
              </w:rPr>
              <w:t>R$ 3.485</w:t>
            </w:r>
            <w:r w:rsidR="00956B32">
              <w:rPr>
                <w:rFonts w:ascii="Arial" w:eastAsia="Arial" w:hAnsi="Arial" w:cs="Arial"/>
                <w:sz w:val="16"/>
                <w:szCs w:val="16"/>
              </w:rPr>
              <w:t>,</w:t>
            </w:r>
            <w:r w:rsidRPr="00616D2F">
              <w:rPr>
                <w:rFonts w:ascii="Arial" w:eastAsia="Arial" w:hAnsi="Arial" w:cs="Arial"/>
                <w:sz w:val="16"/>
                <w:szCs w:val="16"/>
              </w:rPr>
              <w:t>6667</w:t>
            </w:r>
          </w:p>
        </w:tc>
        <w:tc>
          <w:tcPr>
            <w:tcW w:w="1985" w:type="dxa"/>
            <w:tcBorders>
              <w:top w:val="single" w:sz="4" w:space="0" w:color="000000"/>
              <w:left w:val="single" w:sz="4" w:space="0" w:color="000000"/>
              <w:bottom w:val="single" w:sz="4" w:space="0" w:color="000000"/>
              <w:right w:val="single" w:sz="4" w:space="0" w:color="000000"/>
            </w:tcBorders>
            <w:vAlign w:val="center"/>
          </w:tcPr>
          <w:p w14:paraId="29BDAF5D" w14:textId="77777777" w:rsidR="00276BB0" w:rsidRDefault="00000000">
            <w:pPr>
              <w:spacing w:after="0" w:line="240" w:lineRule="auto"/>
              <w:rPr>
                <w:rFonts w:ascii="Arial" w:eastAsia="Arial" w:hAnsi="Arial" w:cs="Arial"/>
                <w:sz w:val="16"/>
                <w:szCs w:val="16"/>
              </w:rPr>
            </w:pPr>
            <w:r>
              <w:rPr>
                <w:rFonts w:ascii="Arial" w:eastAsia="Arial" w:hAnsi="Arial" w:cs="Arial"/>
                <w:noProof/>
                <w:sz w:val="16"/>
                <w:szCs w:val="16"/>
              </w:rPr>
              <w:drawing>
                <wp:inline distT="114300" distB="114300" distL="114300" distR="114300" wp14:anchorId="62C9A969" wp14:editId="6D7516EE">
                  <wp:extent cx="1162050" cy="1181100"/>
                  <wp:effectExtent l="0" t="0" r="0" b="0"/>
                  <wp:docPr id="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
                          <a:srcRect/>
                          <a:stretch>
                            <a:fillRect/>
                          </a:stretch>
                        </pic:blipFill>
                        <pic:spPr>
                          <a:xfrm>
                            <a:off x="0" y="0"/>
                            <a:ext cx="1162050" cy="1181100"/>
                          </a:xfrm>
                          <a:prstGeom prst="rect">
                            <a:avLst/>
                          </a:prstGeom>
                          <a:ln/>
                        </pic:spPr>
                      </pic:pic>
                    </a:graphicData>
                  </a:graphic>
                </wp:inline>
              </w:drawing>
            </w:r>
          </w:p>
        </w:tc>
      </w:tr>
      <w:tr w:rsidR="00276BB0" w14:paraId="0CB3EECA" w14:textId="77777777">
        <w:trPr>
          <w:trHeight w:val="330"/>
        </w:trPr>
        <w:tc>
          <w:tcPr>
            <w:tcW w:w="704" w:type="dxa"/>
            <w:tcBorders>
              <w:top w:val="single" w:sz="4" w:space="0" w:color="000000"/>
              <w:left w:val="single" w:sz="4" w:space="0" w:color="000000"/>
              <w:bottom w:val="single" w:sz="4" w:space="0" w:color="000000"/>
              <w:right w:val="single" w:sz="4" w:space="0" w:color="000000"/>
            </w:tcBorders>
            <w:vAlign w:val="center"/>
          </w:tcPr>
          <w:p w14:paraId="4B1CE2BC" w14:textId="76C2F70E" w:rsidR="00276BB0" w:rsidRDefault="00616D2F" w:rsidP="00616D2F">
            <w:pPr>
              <w:spacing w:after="0" w:line="240" w:lineRule="auto"/>
              <w:jc w:val="center"/>
              <w:rPr>
                <w:rFonts w:ascii="Arial" w:eastAsia="Arial" w:hAnsi="Arial" w:cs="Arial"/>
                <w:sz w:val="16"/>
                <w:szCs w:val="16"/>
              </w:rPr>
            </w:pPr>
            <w:r>
              <w:rPr>
                <w:rFonts w:ascii="Arial" w:eastAsia="Arial" w:hAnsi="Arial" w:cs="Arial"/>
                <w:sz w:val="16"/>
                <w:szCs w:val="16"/>
              </w:rPr>
              <w:t>04</w:t>
            </w:r>
          </w:p>
        </w:tc>
        <w:tc>
          <w:tcPr>
            <w:tcW w:w="3549" w:type="dxa"/>
            <w:tcBorders>
              <w:top w:val="single" w:sz="4" w:space="0" w:color="000000"/>
              <w:left w:val="single" w:sz="4" w:space="0" w:color="000000"/>
              <w:bottom w:val="single" w:sz="4" w:space="0" w:color="000000"/>
              <w:right w:val="single" w:sz="4" w:space="0" w:color="000000"/>
            </w:tcBorders>
            <w:vAlign w:val="center"/>
          </w:tcPr>
          <w:p w14:paraId="3366D299" w14:textId="78984B7F" w:rsidR="00276BB0" w:rsidRDefault="00000000" w:rsidP="00616D2F">
            <w:pPr>
              <w:spacing w:after="0" w:line="240" w:lineRule="auto"/>
              <w:jc w:val="both"/>
              <w:rPr>
                <w:rFonts w:ascii="Arial" w:eastAsia="Arial" w:hAnsi="Arial" w:cs="Arial"/>
                <w:sz w:val="16"/>
                <w:szCs w:val="16"/>
              </w:rPr>
            </w:pPr>
            <w:r>
              <w:rPr>
                <w:rFonts w:ascii="Arial" w:eastAsia="Arial" w:hAnsi="Arial" w:cs="Arial"/>
                <w:b/>
                <w:bCs/>
                <w:sz w:val="16"/>
                <w:szCs w:val="16"/>
              </w:rPr>
              <w:t>STROBO DE LED RGB+W 1000W.</w:t>
            </w:r>
            <w:r>
              <w:rPr>
                <w:rFonts w:ascii="Arial" w:eastAsia="Arial" w:hAnsi="Arial" w:cs="Arial"/>
                <w:sz w:val="16"/>
                <w:szCs w:val="16"/>
              </w:rPr>
              <w:t xml:space="preserve"> Características mínimas: Especificações do Estojo de Transporte (Hard Case Múltiplo):</w:t>
            </w:r>
            <w:r w:rsidR="00616D2F">
              <w:rPr>
                <w:rFonts w:ascii="Arial" w:eastAsia="Arial" w:hAnsi="Arial" w:cs="Arial"/>
                <w:sz w:val="16"/>
                <w:szCs w:val="16"/>
              </w:rPr>
              <w:t xml:space="preserve"> </w:t>
            </w:r>
            <w:r>
              <w:rPr>
                <w:rFonts w:ascii="Arial" w:eastAsia="Arial" w:hAnsi="Arial" w:cs="Arial"/>
                <w:sz w:val="16"/>
                <w:szCs w:val="16"/>
              </w:rPr>
              <w:t>Capacidade: Projetado especificamente para acomodar de forma segura 10 (dez) unidades do refletor Strobo especificado acima, além de espaço livre ou compartimento dedicado para cabos.</w:t>
            </w:r>
            <w:r w:rsidR="00616D2F">
              <w:rPr>
                <w:rFonts w:ascii="Arial" w:eastAsia="Arial" w:hAnsi="Arial" w:cs="Arial"/>
                <w:sz w:val="16"/>
                <w:szCs w:val="16"/>
              </w:rPr>
              <w:t xml:space="preserve"> </w:t>
            </w:r>
            <w:r>
              <w:rPr>
                <w:rFonts w:ascii="Arial" w:eastAsia="Arial" w:hAnsi="Arial" w:cs="Arial"/>
                <w:sz w:val="16"/>
                <w:szCs w:val="16"/>
              </w:rPr>
              <w:t>Construção Externa: Estrutura fabricada em madeira compensada de alta densidade revestida ou material termoplástico rígido resistente a impactos. Deve possuir perfis de encaixe em alumínio e cantoneiras esféricas de proteção em metal (aço ou ferro zincado).</w:t>
            </w:r>
          </w:p>
          <w:p w14:paraId="0366922F" w14:textId="2D34DD00" w:rsidR="00276BB0" w:rsidRDefault="00000000" w:rsidP="00616D2F">
            <w:pPr>
              <w:spacing w:after="0" w:line="240" w:lineRule="auto"/>
              <w:jc w:val="both"/>
              <w:rPr>
                <w:rFonts w:ascii="Arial" w:eastAsia="Arial" w:hAnsi="Arial" w:cs="Arial"/>
                <w:sz w:val="16"/>
                <w:szCs w:val="16"/>
              </w:rPr>
            </w:pPr>
            <w:r>
              <w:rPr>
                <w:rFonts w:ascii="Arial" w:eastAsia="Arial" w:hAnsi="Arial" w:cs="Arial"/>
                <w:sz w:val="16"/>
                <w:szCs w:val="16"/>
              </w:rPr>
              <w:t>Proteção Interna: Revestimento interno em espuma de alta densidade (tipo Ethafoam, EVA ou similar). O interior deve possuir divisórias individuais (formato "colmeia") moldadas sob medida, garantindo que os painéis de LED dos refletores não sofram atrito entre si durante o transporte.</w:t>
            </w:r>
            <w:r w:rsidR="00616D2F">
              <w:rPr>
                <w:rFonts w:ascii="Arial" w:eastAsia="Arial" w:hAnsi="Arial" w:cs="Arial"/>
                <w:sz w:val="16"/>
                <w:szCs w:val="16"/>
              </w:rPr>
              <w:t xml:space="preserve"> </w:t>
            </w:r>
            <w:r>
              <w:rPr>
                <w:rFonts w:ascii="Arial" w:eastAsia="Arial" w:hAnsi="Arial" w:cs="Arial"/>
                <w:sz w:val="16"/>
                <w:szCs w:val="16"/>
              </w:rPr>
              <w:t>Ferragens e Locomoção: Deve possuir fechos de engate rápido e seguro (tipo borboleta) com suporte para cadeado, alças embutidas com mola (retráteis) nas laterais e base equipada com 4 (quatro) rodízios giratórios de alta resistência, sendo no mínimo 2 (dois) com sistema de freio/trava.</w:t>
            </w:r>
            <w:r w:rsidR="00616D2F">
              <w:rPr>
                <w:rFonts w:ascii="Arial" w:eastAsia="Arial" w:hAnsi="Arial" w:cs="Arial"/>
                <w:sz w:val="16"/>
                <w:szCs w:val="16"/>
              </w:rPr>
              <w:t xml:space="preserve"> </w:t>
            </w:r>
            <w:r>
              <w:rPr>
                <w:rFonts w:ascii="Arial" w:eastAsia="Arial" w:hAnsi="Arial" w:cs="Arial"/>
                <w:sz w:val="16"/>
                <w:szCs w:val="16"/>
              </w:rPr>
              <w:t>Composição do Conjunto e Unidade de Fornecimento:</w:t>
            </w:r>
            <w:r w:rsidR="00616D2F">
              <w:rPr>
                <w:rFonts w:ascii="Arial" w:eastAsia="Arial" w:hAnsi="Arial" w:cs="Arial"/>
                <w:sz w:val="16"/>
                <w:szCs w:val="16"/>
              </w:rPr>
              <w:t xml:space="preserve"> </w:t>
            </w:r>
            <w:r>
              <w:rPr>
                <w:rFonts w:ascii="Arial" w:eastAsia="Arial" w:hAnsi="Arial" w:cs="Arial"/>
                <w:sz w:val="16"/>
                <w:szCs w:val="16"/>
              </w:rPr>
              <w:t>Unidade de Fornecimento: 1 (um) Kit/Conjunto.</w:t>
            </w:r>
            <w:r w:rsidR="00616D2F">
              <w:rPr>
                <w:rFonts w:ascii="Arial" w:eastAsia="Arial" w:hAnsi="Arial" w:cs="Arial"/>
                <w:sz w:val="16"/>
                <w:szCs w:val="16"/>
              </w:rPr>
              <w:t xml:space="preserve"> </w:t>
            </w:r>
            <w:r>
              <w:rPr>
                <w:rFonts w:ascii="Arial" w:eastAsia="Arial" w:hAnsi="Arial" w:cs="Arial"/>
                <w:sz w:val="16"/>
                <w:szCs w:val="16"/>
              </w:rPr>
              <w:t>Itens Inclusos no Conjunto: 10 (dez) refletores Strobo LED 1000W (RGB+W), 1 (um) Hard Case múltiplo de transporte com divisórias, 10 (dez) cabos de alimentação de energia compatíveis e manuais de instruções.</w:t>
            </w:r>
          </w:p>
        </w:tc>
        <w:tc>
          <w:tcPr>
            <w:tcW w:w="992" w:type="dxa"/>
            <w:tcBorders>
              <w:top w:val="single" w:sz="4" w:space="0" w:color="000000"/>
              <w:left w:val="single" w:sz="4" w:space="0" w:color="000000"/>
              <w:bottom w:val="single" w:sz="4" w:space="0" w:color="000000"/>
              <w:right w:val="single" w:sz="4" w:space="0" w:color="000000"/>
            </w:tcBorders>
            <w:vAlign w:val="center"/>
          </w:tcPr>
          <w:p w14:paraId="1102C8EE" w14:textId="7C4AE266" w:rsidR="00276BB0" w:rsidRDefault="00A83E5C" w:rsidP="00A83E5C">
            <w:pPr>
              <w:spacing w:after="0" w:line="240" w:lineRule="auto"/>
              <w:jc w:val="center"/>
              <w:rPr>
                <w:rFonts w:ascii="Arial" w:eastAsia="Arial" w:hAnsi="Arial" w:cs="Arial"/>
                <w:sz w:val="16"/>
                <w:szCs w:val="16"/>
              </w:rPr>
            </w:pPr>
            <w:r w:rsidRPr="00A83E5C">
              <w:rPr>
                <w:rFonts w:ascii="Arial" w:eastAsia="Arial" w:hAnsi="Arial" w:cs="Arial"/>
                <w:sz w:val="16"/>
                <w:szCs w:val="16"/>
              </w:rPr>
              <w:t>481675</w:t>
            </w:r>
          </w:p>
        </w:tc>
        <w:tc>
          <w:tcPr>
            <w:tcW w:w="851" w:type="dxa"/>
            <w:tcBorders>
              <w:top w:val="single" w:sz="4" w:space="0" w:color="000000"/>
              <w:left w:val="single" w:sz="4" w:space="0" w:color="000000"/>
              <w:bottom w:val="single" w:sz="4" w:space="0" w:color="000000"/>
              <w:right w:val="single" w:sz="4" w:space="0" w:color="000000"/>
            </w:tcBorders>
            <w:vAlign w:val="center"/>
          </w:tcPr>
          <w:p w14:paraId="32E2FA40" w14:textId="77777777" w:rsidR="00276BB0" w:rsidRDefault="00000000" w:rsidP="00A83E5C">
            <w:pPr>
              <w:spacing w:after="0" w:line="240" w:lineRule="auto"/>
              <w:jc w:val="center"/>
              <w:rPr>
                <w:rFonts w:ascii="Arial" w:eastAsia="Arial" w:hAnsi="Arial" w:cs="Arial"/>
                <w:sz w:val="16"/>
                <w:szCs w:val="16"/>
              </w:rPr>
            </w:pPr>
            <w:r>
              <w:rPr>
                <w:rFonts w:ascii="Arial" w:eastAsia="Arial" w:hAnsi="Arial" w:cs="Arial"/>
                <w:sz w:val="16"/>
                <w:szCs w:val="16"/>
              </w:rPr>
              <w:t>KIT</w:t>
            </w:r>
          </w:p>
        </w:tc>
        <w:tc>
          <w:tcPr>
            <w:tcW w:w="709" w:type="dxa"/>
            <w:tcBorders>
              <w:top w:val="single" w:sz="4" w:space="0" w:color="000000"/>
              <w:left w:val="single" w:sz="4" w:space="0" w:color="000000"/>
              <w:bottom w:val="single" w:sz="4" w:space="0" w:color="000000"/>
              <w:right w:val="single" w:sz="4" w:space="0" w:color="000000"/>
            </w:tcBorders>
            <w:vAlign w:val="center"/>
          </w:tcPr>
          <w:p w14:paraId="48A72E09" w14:textId="77777777" w:rsidR="00276BB0" w:rsidRDefault="00000000" w:rsidP="00A83E5C">
            <w:pPr>
              <w:spacing w:after="0" w:line="240" w:lineRule="auto"/>
              <w:jc w:val="center"/>
              <w:rPr>
                <w:rFonts w:ascii="Arial" w:eastAsia="Arial" w:hAnsi="Arial" w:cs="Arial"/>
                <w:sz w:val="16"/>
                <w:szCs w:val="16"/>
              </w:rPr>
            </w:pPr>
            <w:r>
              <w:rPr>
                <w:rFonts w:ascii="Arial" w:eastAsia="Arial" w:hAnsi="Arial" w:cs="Arial"/>
                <w:sz w:val="16"/>
                <w:szCs w:val="16"/>
              </w:rPr>
              <w:t>01</w:t>
            </w:r>
          </w:p>
        </w:tc>
        <w:tc>
          <w:tcPr>
            <w:tcW w:w="1281" w:type="dxa"/>
            <w:tcBorders>
              <w:top w:val="single" w:sz="4" w:space="0" w:color="000000"/>
              <w:left w:val="single" w:sz="4" w:space="0" w:color="000000"/>
              <w:bottom w:val="single" w:sz="4" w:space="0" w:color="000000"/>
              <w:right w:val="single" w:sz="4" w:space="0" w:color="000000"/>
            </w:tcBorders>
            <w:vAlign w:val="center"/>
          </w:tcPr>
          <w:p w14:paraId="509DDF5E" w14:textId="50857876" w:rsidR="00276BB0" w:rsidRDefault="00A83E5C" w:rsidP="00A83E5C">
            <w:pPr>
              <w:spacing w:after="0" w:line="240" w:lineRule="auto"/>
              <w:jc w:val="center"/>
              <w:rPr>
                <w:rFonts w:ascii="Arial" w:eastAsia="Arial" w:hAnsi="Arial" w:cs="Arial"/>
                <w:sz w:val="16"/>
                <w:szCs w:val="16"/>
              </w:rPr>
            </w:pPr>
            <w:r w:rsidRPr="00A83E5C">
              <w:rPr>
                <w:rFonts w:ascii="Arial" w:eastAsia="Arial" w:hAnsi="Arial" w:cs="Arial"/>
                <w:sz w:val="16"/>
                <w:szCs w:val="16"/>
              </w:rPr>
              <w:t>R$ 7</w:t>
            </w:r>
            <w:r w:rsidR="00956B32">
              <w:rPr>
                <w:rFonts w:ascii="Arial" w:eastAsia="Arial" w:hAnsi="Arial" w:cs="Arial"/>
                <w:sz w:val="16"/>
                <w:szCs w:val="16"/>
              </w:rPr>
              <w:t>.</w:t>
            </w:r>
            <w:r w:rsidRPr="00A83E5C">
              <w:rPr>
                <w:rFonts w:ascii="Arial" w:eastAsia="Arial" w:hAnsi="Arial" w:cs="Arial"/>
                <w:sz w:val="16"/>
                <w:szCs w:val="16"/>
              </w:rPr>
              <w:t>813</w:t>
            </w:r>
            <w:r w:rsidR="00956B32">
              <w:rPr>
                <w:rFonts w:ascii="Arial" w:eastAsia="Arial" w:hAnsi="Arial" w:cs="Arial"/>
                <w:sz w:val="16"/>
                <w:szCs w:val="16"/>
              </w:rPr>
              <w:t>,</w:t>
            </w:r>
            <w:r w:rsidRPr="00A83E5C">
              <w:rPr>
                <w:rFonts w:ascii="Arial" w:eastAsia="Arial" w:hAnsi="Arial" w:cs="Arial"/>
                <w:sz w:val="16"/>
                <w:szCs w:val="16"/>
              </w:rPr>
              <w:t>29</w:t>
            </w:r>
          </w:p>
        </w:tc>
        <w:tc>
          <w:tcPr>
            <w:tcW w:w="1417" w:type="dxa"/>
            <w:tcBorders>
              <w:top w:val="single" w:sz="4" w:space="0" w:color="000000"/>
              <w:left w:val="single" w:sz="4" w:space="0" w:color="000000"/>
              <w:bottom w:val="single" w:sz="4" w:space="0" w:color="000000"/>
              <w:right w:val="single" w:sz="4" w:space="0" w:color="000000"/>
            </w:tcBorders>
            <w:vAlign w:val="center"/>
          </w:tcPr>
          <w:p w14:paraId="538EF9A8" w14:textId="0DFF22B2" w:rsidR="00276BB0" w:rsidRDefault="00A83E5C" w:rsidP="00A83E5C">
            <w:pPr>
              <w:spacing w:after="0" w:line="240" w:lineRule="auto"/>
              <w:jc w:val="center"/>
              <w:rPr>
                <w:rFonts w:ascii="Arial" w:eastAsia="Arial" w:hAnsi="Arial" w:cs="Arial"/>
                <w:sz w:val="16"/>
                <w:szCs w:val="16"/>
              </w:rPr>
            </w:pPr>
            <w:r w:rsidRPr="00A83E5C">
              <w:rPr>
                <w:rFonts w:ascii="Arial" w:eastAsia="Arial" w:hAnsi="Arial" w:cs="Arial"/>
                <w:sz w:val="16"/>
                <w:szCs w:val="16"/>
              </w:rPr>
              <w:t>R$ 7</w:t>
            </w:r>
            <w:r w:rsidR="00956B32">
              <w:rPr>
                <w:rFonts w:ascii="Arial" w:eastAsia="Arial" w:hAnsi="Arial" w:cs="Arial"/>
                <w:sz w:val="16"/>
                <w:szCs w:val="16"/>
              </w:rPr>
              <w:t>.</w:t>
            </w:r>
            <w:r w:rsidRPr="00A83E5C">
              <w:rPr>
                <w:rFonts w:ascii="Arial" w:eastAsia="Arial" w:hAnsi="Arial" w:cs="Arial"/>
                <w:sz w:val="16"/>
                <w:szCs w:val="16"/>
              </w:rPr>
              <w:t>813</w:t>
            </w:r>
            <w:r w:rsidR="00956B32">
              <w:rPr>
                <w:rFonts w:ascii="Arial" w:eastAsia="Arial" w:hAnsi="Arial" w:cs="Arial"/>
                <w:sz w:val="16"/>
                <w:szCs w:val="16"/>
              </w:rPr>
              <w:t>,</w:t>
            </w:r>
            <w:r w:rsidRPr="00A83E5C">
              <w:rPr>
                <w:rFonts w:ascii="Arial" w:eastAsia="Arial" w:hAnsi="Arial" w:cs="Arial"/>
                <w:sz w:val="16"/>
                <w:szCs w:val="16"/>
              </w:rPr>
              <w:t>29</w:t>
            </w:r>
          </w:p>
        </w:tc>
        <w:tc>
          <w:tcPr>
            <w:tcW w:w="1985" w:type="dxa"/>
            <w:tcBorders>
              <w:top w:val="single" w:sz="4" w:space="0" w:color="000000"/>
              <w:left w:val="single" w:sz="4" w:space="0" w:color="000000"/>
              <w:bottom w:val="single" w:sz="4" w:space="0" w:color="000000"/>
              <w:right w:val="single" w:sz="4" w:space="0" w:color="000000"/>
            </w:tcBorders>
            <w:vAlign w:val="center"/>
          </w:tcPr>
          <w:p w14:paraId="2F0C7A13" w14:textId="77777777" w:rsidR="00276BB0" w:rsidRDefault="00000000">
            <w:pPr>
              <w:spacing w:after="0" w:line="240" w:lineRule="auto"/>
              <w:rPr>
                <w:rFonts w:ascii="Arial" w:eastAsia="Arial" w:hAnsi="Arial" w:cs="Arial"/>
                <w:sz w:val="16"/>
                <w:szCs w:val="16"/>
              </w:rPr>
            </w:pPr>
            <w:r>
              <w:rPr>
                <w:rFonts w:ascii="Arial" w:eastAsia="Arial" w:hAnsi="Arial" w:cs="Arial"/>
                <w:noProof/>
                <w:sz w:val="16"/>
                <w:szCs w:val="16"/>
              </w:rPr>
              <w:drawing>
                <wp:inline distT="114300" distB="114300" distL="114300" distR="114300" wp14:anchorId="3FFD96FB" wp14:editId="7E95F206">
                  <wp:extent cx="1162050" cy="1054100"/>
                  <wp:effectExtent l="0" t="0" r="0" b="0"/>
                  <wp:docPr id="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1"/>
                          <a:srcRect/>
                          <a:stretch>
                            <a:fillRect/>
                          </a:stretch>
                        </pic:blipFill>
                        <pic:spPr>
                          <a:xfrm>
                            <a:off x="0" y="0"/>
                            <a:ext cx="1162050" cy="1054100"/>
                          </a:xfrm>
                          <a:prstGeom prst="rect">
                            <a:avLst/>
                          </a:prstGeom>
                          <a:ln/>
                        </pic:spPr>
                      </pic:pic>
                    </a:graphicData>
                  </a:graphic>
                </wp:inline>
              </w:drawing>
            </w:r>
          </w:p>
        </w:tc>
      </w:tr>
      <w:tr w:rsidR="00276BB0" w14:paraId="158FFF56" w14:textId="77777777">
        <w:trPr>
          <w:trHeight w:val="330"/>
        </w:trPr>
        <w:tc>
          <w:tcPr>
            <w:tcW w:w="704" w:type="dxa"/>
            <w:tcBorders>
              <w:top w:val="single" w:sz="4" w:space="0" w:color="000000"/>
              <w:left w:val="single" w:sz="4" w:space="0" w:color="000000"/>
              <w:bottom w:val="single" w:sz="4" w:space="0" w:color="000000"/>
              <w:right w:val="single" w:sz="4" w:space="0" w:color="000000"/>
            </w:tcBorders>
            <w:vAlign w:val="center"/>
          </w:tcPr>
          <w:p w14:paraId="6DDC8496" w14:textId="29EEC1C5" w:rsidR="00276BB0" w:rsidRDefault="00A83E5C" w:rsidP="00A83E5C">
            <w:pPr>
              <w:spacing w:after="0" w:line="240" w:lineRule="auto"/>
              <w:jc w:val="center"/>
              <w:rPr>
                <w:rFonts w:ascii="Arial" w:eastAsia="Arial" w:hAnsi="Arial" w:cs="Arial"/>
                <w:sz w:val="16"/>
                <w:szCs w:val="16"/>
              </w:rPr>
            </w:pPr>
            <w:r>
              <w:rPr>
                <w:rFonts w:ascii="Arial" w:eastAsia="Arial" w:hAnsi="Arial" w:cs="Arial"/>
                <w:sz w:val="16"/>
                <w:szCs w:val="16"/>
              </w:rPr>
              <w:t>05</w:t>
            </w:r>
          </w:p>
        </w:tc>
        <w:tc>
          <w:tcPr>
            <w:tcW w:w="3549" w:type="dxa"/>
            <w:tcBorders>
              <w:top w:val="single" w:sz="4" w:space="0" w:color="000000"/>
              <w:left w:val="single" w:sz="4" w:space="0" w:color="000000"/>
              <w:bottom w:val="single" w:sz="4" w:space="0" w:color="000000"/>
              <w:right w:val="single" w:sz="4" w:space="0" w:color="000000"/>
            </w:tcBorders>
            <w:vAlign w:val="center"/>
          </w:tcPr>
          <w:p w14:paraId="3804B7F8" w14:textId="2854F2F6" w:rsidR="00276BB0" w:rsidRDefault="00000000" w:rsidP="00A83E5C">
            <w:pPr>
              <w:spacing w:after="0" w:line="240" w:lineRule="auto"/>
              <w:jc w:val="both"/>
              <w:rPr>
                <w:rFonts w:ascii="Arial" w:eastAsia="Arial" w:hAnsi="Arial" w:cs="Arial"/>
                <w:sz w:val="16"/>
                <w:szCs w:val="16"/>
              </w:rPr>
            </w:pPr>
            <w:r>
              <w:rPr>
                <w:rFonts w:ascii="Arial" w:eastAsia="Arial" w:hAnsi="Arial" w:cs="Arial"/>
                <w:b/>
                <w:bCs/>
                <w:sz w:val="16"/>
                <w:szCs w:val="16"/>
              </w:rPr>
              <w:t>MESA DIGITA</w:t>
            </w:r>
            <w:r w:rsidR="006649DB">
              <w:rPr>
                <w:rFonts w:ascii="Arial" w:eastAsia="Arial" w:hAnsi="Arial" w:cs="Arial"/>
                <w:b/>
                <w:bCs/>
                <w:sz w:val="16"/>
                <w:szCs w:val="16"/>
              </w:rPr>
              <w:t>L</w:t>
            </w:r>
            <w:r>
              <w:rPr>
                <w:rFonts w:ascii="Arial" w:eastAsia="Arial" w:hAnsi="Arial" w:cs="Arial"/>
                <w:b/>
                <w:bCs/>
                <w:sz w:val="16"/>
                <w:szCs w:val="16"/>
              </w:rPr>
              <w:t xml:space="preserve">. </w:t>
            </w:r>
            <w:r>
              <w:rPr>
                <w:rFonts w:ascii="Arial" w:eastAsia="Arial" w:hAnsi="Arial" w:cs="Arial"/>
                <w:sz w:val="16"/>
                <w:szCs w:val="16"/>
              </w:rPr>
              <w:t>Características mínimas: Equalizador gráfico de 31 bandas, gate de ruído e compressor em todas as saídas.Sistema automático de supressão de microfonia (Anti-Feedback) integrado em todas as saídas de monitor/auxiliares.</w:t>
            </w:r>
            <w:r w:rsidR="00A83E5C">
              <w:rPr>
                <w:rFonts w:ascii="Arial" w:eastAsia="Arial" w:hAnsi="Arial" w:cs="Arial"/>
                <w:sz w:val="16"/>
                <w:szCs w:val="16"/>
              </w:rPr>
              <w:t xml:space="preserve"> </w:t>
            </w:r>
            <w:r>
              <w:rPr>
                <w:rFonts w:ascii="Arial" w:eastAsia="Arial" w:hAnsi="Arial" w:cs="Arial"/>
                <w:sz w:val="16"/>
                <w:szCs w:val="16"/>
              </w:rPr>
              <w:t>Efeitos e Análise Visual:</w:t>
            </w:r>
            <w:r w:rsidR="00A83E5C">
              <w:rPr>
                <w:rFonts w:ascii="Arial" w:eastAsia="Arial" w:hAnsi="Arial" w:cs="Arial"/>
                <w:sz w:val="16"/>
                <w:szCs w:val="16"/>
              </w:rPr>
              <w:t xml:space="preserve"> </w:t>
            </w:r>
            <w:r>
              <w:rPr>
                <w:rFonts w:ascii="Arial" w:eastAsia="Arial" w:hAnsi="Arial" w:cs="Arial"/>
                <w:sz w:val="16"/>
                <w:szCs w:val="16"/>
              </w:rPr>
              <w:t>Processadores de efeitos de alta qualidade, incluindo no mínimo Reverb (com ajuste de PreDelay), Chorus e Delay.</w:t>
            </w:r>
            <w:r w:rsidR="00A83E5C">
              <w:rPr>
                <w:rFonts w:ascii="Arial" w:eastAsia="Arial" w:hAnsi="Arial" w:cs="Arial"/>
                <w:sz w:val="16"/>
                <w:szCs w:val="16"/>
              </w:rPr>
              <w:t xml:space="preserve"> </w:t>
            </w:r>
            <w:r>
              <w:rPr>
                <w:rFonts w:ascii="Arial" w:eastAsia="Arial" w:hAnsi="Arial" w:cs="Arial"/>
                <w:sz w:val="16"/>
                <w:szCs w:val="16"/>
              </w:rPr>
              <w:t>Analisador de espectro de frequências em tempo real (RTA) disponível visualmente em todas as entradas e saídas.</w:t>
            </w:r>
            <w:r w:rsidR="00A83E5C">
              <w:rPr>
                <w:rFonts w:ascii="Arial" w:eastAsia="Arial" w:hAnsi="Arial" w:cs="Arial"/>
                <w:sz w:val="16"/>
                <w:szCs w:val="16"/>
              </w:rPr>
              <w:t xml:space="preserve"> </w:t>
            </w:r>
            <w:r>
              <w:rPr>
                <w:rFonts w:ascii="Arial" w:eastAsia="Arial" w:hAnsi="Arial" w:cs="Arial"/>
                <w:sz w:val="16"/>
                <w:szCs w:val="16"/>
              </w:rPr>
              <w:t>Interface de Áudio e Gravação Multipista:</w:t>
            </w:r>
            <w:r w:rsidR="00A83E5C">
              <w:rPr>
                <w:rFonts w:ascii="Arial" w:eastAsia="Arial" w:hAnsi="Arial" w:cs="Arial"/>
                <w:sz w:val="16"/>
                <w:szCs w:val="16"/>
              </w:rPr>
              <w:t xml:space="preserve"> </w:t>
            </w:r>
            <w:r>
              <w:rPr>
                <w:rFonts w:ascii="Arial" w:eastAsia="Arial" w:hAnsi="Arial" w:cs="Arial"/>
                <w:sz w:val="16"/>
                <w:szCs w:val="16"/>
              </w:rPr>
              <w:t>Interface de áudio USB multicanal compatível com computadores Mac e PC, bem como com as principais estações de trabalho de áudio digital (DAWs).</w:t>
            </w:r>
            <w:r w:rsidR="00A83E5C">
              <w:rPr>
                <w:rFonts w:ascii="Arial" w:eastAsia="Arial" w:hAnsi="Arial" w:cs="Arial"/>
                <w:sz w:val="16"/>
                <w:szCs w:val="16"/>
              </w:rPr>
              <w:t xml:space="preserve"> </w:t>
            </w:r>
            <w:r>
              <w:rPr>
                <w:rFonts w:ascii="Arial" w:eastAsia="Arial" w:hAnsi="Arial" w:cs="Arial"/>
                <w:sz w:val="16"/>
                <w:szCs w:val="16"/>
              </w:rPr>
              <w:t>Sistema de gravação multipista de caminho duplo e redundante, capaz de gravar todos os 24 canais simultaneamente de forma direta em unidade de armazenamento USB externa (pen drive/HD) E também em um computador conectado.</w:t>
            </w:r>
            <w:r w:rsidR="00A83E5C">
              <w:rPr>
                <w:rFonts w:ascii="Arial" w:eastAsia="Arial" w:hAnsi="Arial" w:cs="Arial"/>
                <w:sz w:val="16"/>
                <w:szCs w:val="16"/>
              </w:rPr>
              <w:t xml:space="preserve"> </w:t>
            </w:r>
            <w:r>
              <w:rPr>
                <w:rFonts w:ascii="Arial" w:eastAsia="Arial" w:hAnsi="Arial" w:cs="Arial"/>
                <w:sz w:val="16"/>
                <w:szCs w:val="16"/>
              </w:rPr>
              <w:t>Recursos Avançados e Expansão (Firmware):</w:t>
            </w:r>
          </w:p>
          <w:p w14:paraId="28126ADB" w14:textId="77777777" w:rsidR="00276BB0" w:rsidRDefault="00000000" w:rsidP="00A83E5C">
            <w:pPr>
              <w:spacing w:after="0" w:line="240" w:lineRule="auto"/>
              <w:jc w:val="both"/>
              <w:rPr>
                <w:rFonts w:ascii="Arial" w:eastAsia="Arial" w:hAnsi="Arial" w:cs="Arial"/>
                <w:sz w:val="16"/>
                <w:szCs w:val="16"/>
              </w:rPr>
            </w:pPr>
            <w:r>
              <w:rPr>
                <w:rFonts w:ascii="Arial" w:eastAsia="Arial" w:hAnsi="Arial" w:cs="Arial"/>
                <w:sz w:val="16"/>
                <w:szCs w:val="16"/>
              </w:rPr>
              <w:t xml:space="preserve">Recurso de cascateamento para interligação de </w:t>
            </w:r>
            <w:r>
              <w:rPr>
                <w:rFonts w:ascii="Arial" w:eastAsia="Arial" w:hAnsi="Arial" w:cs="Arial"/>
                <w:sz w:val="16"/>
                <w:szCs w:val="16"/>
              </w:rPr>
              <w:lastRenderedPageBreak/>
              <w:t>dois sistemas via cabo Ethernet, permitindo expansão do barramento de áudio bidirecional (mínimo de 32x32), dobrando a capacidade de entradas ou criando mixagens independentes.</w:t>
            </w:r>
          </w:p>
          <w:p w14:paraId="61AACED4" w14:textId="3CD51EB4" w:rsidR="00276BB0" w:rsidRDefault="00000000" w:rsidP="00A83E5C">
            <w:pPr>
              <w:spacing w:after="0" w:line="240" w:lineRule="auto"/>
              <w:jc w:val="both"/>
              <w:rPr>
                <w:rFonts w:ascii="Arial" w:eastAsia="Arial" w:hAnsi="Arial" w:cs="Arial"/>
                <w:sz w:val="16"/>
                <w:szCs w:val="16"/>
              </w:rPr>
            </w:pPr>
            <w:r>
              <w:rPr>
                <w:rFonts w:ascii="Arial" w:eastAsia="Arial" w:hAnsi="Arial" w:cs="Arial"/>
                <w:sz w:val="16"/>
                <w:szCs w:val="16"/>
              </w:rPr>
              <w:t>Sistema para salvar e chamar configurações com rapidez (Cue Recall).</w:t>
            </w:r>
            <w:r w:rsidR="00A83E5C">
              <w:rPr>
                <w:rFonts w:ascii="Arial" w:eastAsia="Arial" w:hAnsi="Arial" w:cs="Arial"/>
                <w:sz w:val="16"/>
                <w:szCs w:val="16"/>
              </w:rPr>
              <w:t xml:space="preserve"> </w:t>
            </w:r>
            <w:r>
              <w:rPr>
                <w:rFonts w:ascii="Arial" w:eastAsia="Arial" w:hAnsi="Arial" w:cs="Arial"/>
                <w:sz w:val="16"/>
                <w:szCs w:val="16"/>
              </w:rPr>
              <w:t>Capacidade de envio de comandos de rede (UDP Control Recall) para disparo/integração com sistemas de iluminação.</w:t>
            </w:r>
          </w:p>
        </w:tc>
        <w:tc>
          <w:tcPr>
            <w:tcW w:w="992" w:type="dxa"/>
            <w:tcBorders>
              <w:top w:val="single" w:sz="4" w:space="0" w:color="000000"/>
              <w:left w:val="single" w:sz="4" w:space="0" w:color="000000"/>
              <w:bottom w:val="single" w:sz="4" w:space="0" w:color="000000"/>
              <w:right w:val="single" w:sz="4" w:space="0" w:color="000000"/>
            </w:tcBorders>
            <w:vAlign w:val="center"/>
          </w:tcPr>
          <w:p w14:paraId="70CD77ED" w14:textId="7722A44E" w:rsidR="00276BB0" w:rsidRDefault="00E42221" w:rsidP="00E42221">
            <w:pPr>
              <w:spacing w:after="0" w:line="240" w:lineRule="auto"/>
              <w:jc w:val="center"/>
              <w:rPr>
                <w:rFonts w:ascii="Arial" w:eastAsia="Arial" w:hAnsi="Arial" w:cs="Arial"/>
                <w:sz w:val="16"/>
                <w:szCs w:val="16"/>
              </w:rPr>
            </w:pPr>
            <w:r w:rsidRPr="00E42221">
              <w:rPr>
                <w:rFonts w:ascii="Arial" w:eastAsia="Arial" w:hAnsi="Arial" w:cs="Arial"/>
                <w:sz w:val="16"/>
                <w:szCs w:val="16"/>
              </w:rPr>
              <w:lastRenderedPageBreak/>
              <w:t>605378</w:t>
            </w:r>
          </w:p>
        </w:tc>
        <w:tc>
          <w:tcPr>
            <w:tcW w:w="851" w:type="dxa"/>
            <w:tcBorders>
              <w:top w:val="single" w:sz="4" w:space="0" w:color="000000"/>
              <w:left w:val="single" w:sz="4" w:space="0" w:color="000000"/>
              <w:bottom w:val="single" w:sz="4" w:space="0" w:color="000000"/>
              <w:right w:val="single" w:sz="4" w:space="0" w:color="000000"/>
            </w:tcBorders>
            <w:vAlign w:val="center"/>
          </w:tcPr>
          <w:p w14:paraId="157EA1EE" w14:textId="77777777" w:rsidR="00276BB0" w:rsidRDefault="00000000" w:rsidP="00E42221">
            <w:pPr>
              <w:spacing w:after="0" w:line="240" w:lineRule="auto"/>
              <w:jc w:val="center"/>
              <w:rPr>
                <w:rFonts w:ascii="Arial" w:eastAsia="Arial" w:hAnsi="Arial" w:cs="Arial"/>
                <w:sz w:val="16"/>
                <w:szCs w:val="16"/>
              </w:rPr>
            </w:pPr>
            <w:r>
              <w:rPr>
                <w:rFonts w:ascii="Arial" w:eastAsia="Arial" w:hAnsi="Arial" w:cs="Arial"/>
                <w:sz w:val="16"/>
                <w:szCs w:val="16"/>
              </w:rPr>
              <w:t>UND</w:t>
            </w:r>
          </w:p>
        </w:tc>
        <w:tc>
          <w:tcPr>
            <w:tcW w:w="709" w:type="dxa"/>
            <w:tcBorders>
              <w:top w:val="single" w:sz="4" w:space="0" w:color="000000"/>
              <w:left w:val="single" w:sz="4" w:space="0" w:color="000000"/>
              <w:bottom w:val="single" w:sz="4" w:space="0" w:color="000000"/>
              <w:right w:val="single" w:sz="4" w:space="0" w:color="000000"/>
            </w:tcBorders>
            <w:vAlign w:val="center"/>
          </w:tcPr>
          <w:p w14:paraId="3616F16B" w14:textId="77777777" w:rsidR="00276BB0" w:rsidRDefault="00000000" w:rsidP="00E42221">
            <w:pPr>
              <w:spacing w:after="0" w:line="240" w:lineRule="auto"/>
              <w:jc w:val="center"/>
              <w:rPr>
                <w:rFonts w:ascii="Arial" w:eastAsia="Arial" w:hAnsi="Arial" w:cs="Arial"/>
                <w:sz w:val="16"/>
                <w:szCs w:val="16"/>
              </w:rPr>
            </w:pPr>
            <w:r>
              <w:rPr>
                <w:rFonts w:ascii="Arial" w:eastAsia="Arial" w:hAnsi="Arial" w:cs="Arial"/>
                <w:sz w:val="16"/>
                <w:szCs w:val="16"/>
              </w:rPr>
              <w:t>01</w:t>
            </w:r>
          </w:p>
        </w:tc>
        <w:tc>
          <w:tcPr>
            <w:tcW w:w="1281" w:type="dxa"/>
            <w:tcBorders>
              <w:top w:val="single" w:sz="4" w:space="0" w:color="000000"/>
              <w:left w:val="single" w:sz="4" w:space="0" w:color="000000"/>
              <w:bottom w:val="single" w:sz="4" w:space="0" w:color="000000"/>
              <w:right w:val="single" w:sz="4" w:space="0" w:color="000000"/>
            </w:tcBorders>
            <w:vAlign w:val="center"/>
          </w:tcPr>
          <w:p w14:paraId="29385410" w14:textId="27B5C059" w:rsidR="00276BB0" w:rsidRDefault="00E42221" w:rsidP="00E42221">
            <w:pPr>
              <w:spacing w:after="0" w:line="240" w:lineRule="auto"/>
              <w:jc w:val="center"/>
              <w:rPr>
                <w:rFonts w:ascii="Arial" w:eastAsia="Arial" w:hAnsi="Arial" w:cs="Arial"/>
                <w:sz w:val="16"/>
                <w:szCs w:val="16"/>
              </w:rPr>
            </w:pPr>
            <w:r w:rsidRPr="00E42221">
              <w:rPr>
                <w:rFonts w:ascii="Arial" w:eastAsia="Arial" w:hAnsi="Arial" w:cs="Arial"/>
                <w:sz w:val="16"/>
                <w:szCs w:val="16"/>
              </w:rPr>
              <w:t>R$ 10.357</w:t>
            </w:r>
            <w:r w:rsidR="00956B32">
              <w:rPr>
                <w:rFonts w:ascii="Arial" w:eastAsia="Arial" w:hAnsi="Arial" w:cs="Arial"/>
                <w:sz w:val="16"/>
                <w:szCs w:val="16"/>
              </w:rPr>
              <w:t>,</w:t>
            </w:r>
            <w:r w:rsidRPr="00E42221">
              <w:rPr>
                <w:rFonts w:ascii="Arial" w:eastAsia="Arial" w:hAnsi="Arial" w:cs="Arial"/>
                <w:sz w:val="16"/>
                <w:szCs w:val="16"/>
              </w:rPr>
              <w:t>00</w:t>
            </w:r>
          </w:p>
        </w:tc>
        <w:tc>
          <w:tcPr>
            <w:tcW w:w="1417" w:type="dxa"/>
            <w:tcBorders>
              <w:top w:val="single" w:sz="4" w:space="0" w:color="000000"/>
              <w:left w:val="single" w:sz="4" w:space="0" w:color="000000"/>
              <w:bottom w:val="single" w:sz="4" w:space="0" w:color="000000"/>
              <w:right w:val="single" w:sz="4" w:space="0" w:color="000000"/>
            </w:tcBorders>
            <w:vAlign w:val="center"/>
          </w:tcPr>
          <w:p w14:paraId="70FDBA82" w14:textId="6E17541C" w:rsidR="00276BB0" w:rsidRDefault="00E42221" w:rsidP="00E42221">
            <w:pPr>
              <w:spacing w:after="0" w:line="240" w:lineRule="auto"/>
              <w:jc w:val="center"/>
              <w:rPr>
                <w:rFonts w:ascii="Arial" w:eastAsia="Arial" w:hAnsi="Arial" w:cs="Arial"/>
                <w:sz w:val="16"/>
                <w:szCs w:val="16"/>
              </w:rPr>
            </w:pPr>
            <w:r w:rsidRPr="00E42221">
              <w:rPr>
                <w:rFonts w:ascii="Arial" w:eastAsia="Arial" w:hAnsi="Arial" w:cs="Arial"/>
                <w:sz w:val="16"/>
                <w:szCs w:val="16"/>
              </w:rPr>
              <w:t>R$ 10.357</w:t>
            </w:r>
            <w:r w:rsidR="00956B32">
              <w:rPr>
                <w:rFonts w:ascii="Arial" w:eastAsia="Arial" w:hAnsi="Arial" w:cs="Arial"/>
                <w:sz w:val="16"/>
                <w:szCs w:val="16"/>
              </w:rPr>
              <w:t>,</w:t>
            </w:r>
            <w:r w:rsidRPr="00E42221">
              <w:rPr>
                <w:rFonts w:ascii="Arial" w:eastAsia="Arial" w:hAnsi="Arial" w:cs="Arial"/>
                <w:sz w:val="16"/>
                <w:szCs w:val="16"/>
              </w:rPr>
              <w:t>00</w:t>
            </w:r>
          </w:p>
        </w:tc>
        <w:tc>
          <w:tcPr>
            <w:tcW w:w="1985" w:type="dxa"/>
            <w:tcBorders>
              <w:top w:val="single" w:sz="4" w:space="0" w:color="000000"/>
              <w:left w:val="single" w:sz="4" w:space="0" w:color="000000"/>
              <w:bottom w:val="single" w:sz="4" w:space="0" w:color="000000"/>
              <w:right w:val="single" w:sz="4" w:space="0" w:color="000000"/>
            </w:tcBorders>
            <w:vAlign w:val="center"/>
          </w:tcPr>
          <w:p w14:paraId="50E8FF1E" w14:textId="77777777" w:rsidR="00276BB0" w:rsidRDefault="00000000">
            <w:pPr>
              <w:spacing w:after="0" w:line="240" w:lineRule="auto"/>
              <w:rPr>
                <w:rFonts w:ascii="Arial" w:eastAsia="Arial" w:hAnsi="Arial" w:cs="Arial"/>
                <w:sz w:val="16"/>
                <w:szCs w:val="16"/>
              </w:rPr>
            </w:pPr>
            <w:r>
              <w:rPr>
                <w:rFonts w:ascii="Arial" w:eastAsia="Arial" w:hAnsi="Arial" w:cs="Arial"/>
                <w:noProof/>
                <w:sz w:val="16"/>
                <w:szCs w:val="16"/>
              </w:rPr>
              <w:drawing>
                <wp:inline distT="114300" distB="114300" distL="114300" distR="114300" wp14:anchorId="5972BE06" wp14:editId="21F0D11C">
                  <wp:extent cx="1162050" cy="762000"/>
                  <wp:effectExtent l="0" t="0" r="0" b="0"/>
                  <wp:docPr id="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2"/>
                          <a:srcRect/>
                          <a:stretch>
                            <a:fillRect/>
                          </a:stretch>
                        </pic:blipFill>
                        <pic:spPr>
                          <a:xfrm>
                            <a:off x="0" y="0"/>
                            <a:ext cx="1162050" cy="762000"/>
                          </a:xfrm>
                          <a:prstGeom prst="rect">
                            <a:avLst/>
                          </a:prstGeom>
                          <a:ln/>
                        </pic:spPr>
                      </pic:pic>
                    </a:graphicData>
                  </a:graphic>
                </wp:inline>
              </w:drawing>
            </w:r>
          </w:p>
        </w:tc>
      </w:tr>
      <w:tr w:rsidR="00276BB0" w14:paraId="50E3A60B" w14:textId="77777777" w:rsidTr="00BD2E71">
        <w:trPr>
          <w:trHeight w:val="330"/>
        </w:trPr>
        <w:tc>
          <w:tcPr>
            <w:tcW w:w="704" w:type="dxa"/>
            <w:tcBorders>
              <w:top w:val="single" w:sz="4" w:space="0" w:color="000000"/>
              <w:left w:val="single" w:sz="4" w:space="0" w:color="000000"/>
              <w:bottom w:val="single" w:sz="4" w:space="0" w:color="auto"/>
              <w:right w:val="single" w:sz="4" w:space="0" w:color="000000"/>
            </w:tcBorders>
            <w:vAlign w:val="center"/>
          </w:tcPr>
          <w:p w14:paraId="50434D20" w14:textId="2C8F87B9" w:rsidR="00276BB0" w:rsidRDefault="00E42221" w:rsidP="00E42221">
            <w:pPr>
              <w:spacing w:after="0" w:line="240" w:lineRule="auto"/>
              <w:jc w:val="center"/>
              <w:rPr>
                <w:rFonts w:ascii="Arial" w:eastAsia="Arial" w:hAnsi="Arial" w:cs="Arial"/>
                <w:sz w:val="16"/>
                <w:szCs w:val="16"/>
              </w:rPr>
            </w:pPr>
            <w:r>
              <w:rPr>
                <w:rFonts w:ascii="Arial" w:eastAsia="Arial" w:hAnsi="Arial" w:cs="Arial"/>
                <w:sz w:val="16"/>
                <w:szCs w:val="16"/>
              </w:rPr>
              <w:t>06</w:t>
            </w:r>
          </w:p>
        </w:tc>
        <w:tc>
          <w:tcPr>
            <w:tcW w:w="3549" w:type="dxa"/>
            <w:tcBorders>
              <w:top w:val="single" w:sz="4" w:space="0" w:color="000000"/>
              <w:left w:val="single" w:sz="4" w:space="0" w:color="000000"/>
              <w:bottom w:val="single" w:sz="4" w:space="0" w:color="auto"/>
              <w:right w:val="single" w:sz="4" w:space="0" w:color="000000"/>
            </w:tcBorders>
            <w:vAlign w:val="center"/>
          </w:tcPr>
          <w:p w14:paraId="1EFF31B6" w14:textId="5C36EB13" w:rsidR="00276BB0" w:rsidRDefault="00000000" w:rsidP="00E42221">
            <w:pPr>
              <w:spacing w:after="0" w:line="240" w:lineRule="auto"/>
              <w:jc w:val="both"/>
              <w:rPr>
                <w:rFonts w:ascii="Arial" w:eastAsia="Arial" w:hAnsi="Arial" w:cs="Arial"/>
                <w:sz w:val="16"/>
                <w:szCs w:val="16"/>
              </w:rPr>
            </w:pPr>
            <w:r>
              <w:rPr>
                <w:rFonts w:ascii="Arial" w:eastAsia="Arial" w:hAnsi="Arial" w:cs="Arial"/>
                <w:b/>
                <w:bCs/>
                <w:sz w:val="16"/>
                <w:szCs w:val="16"/>
              </w:rPr>
              <w:t>MÁQUINA DE FUMAÇA COM CONTROLE DMX</w:t>
            </w:r>
            <w:r>
              <w:rPr>
                <w:rFonts w:ascii="Arial" w:eastAsia="Arial" w:hAnsi="Arial" w:cs="Arial"/>
                <w:sz w:val="16"/>
                <w:szCs w:val="16"/>
              </w:rPr>
              <w:t>. Características mínimas: Equipamento gerador de fumaça artificial para efeitos cênicos e iluminação profissional. O equipamento deve apresentar construção robusta e atender, obrigatoriamente, às seguintes especificações técnicas mínimas:</w:t>
            </w:r>
            <w:r w:rsidR="00E42221">
              <w:rPr>
                <w:rFonts w:ascii="Arial" w:eastAsia="Arial" w:hAnsi="Arial" w:cs="Arial"/>
                <w:sz w:val="16"/>
                <w:szCs w:val="16"/>
              </w:rPr>
              <w:t xml:space="preserve"> </w:t>
            </w:r>
            <w:r>
              <w:rPr>
                <w:rFonts w:ascii="Arial" w:eastAsia="Arial" w:hAnsi="Arial" w:cs="Arial"/>
                <w:sz w:val="16"/>
                <w:szCs w:val="16"/>
              </w:rPr>
              <w:t>Potência Nominal: 3000 Watts.</w:t>
            </w:r>
            <w:r w:rsidR="00E42221">
              <w:rPr>
                <w:rFonts w:ascii="Arial" w:eastAsia="Arial" w:hAnsi="Arial" w:cs="Arial"/>
                <w:sz w:val="16"/>
                <w:szCs w:val="16"/>
              </w:rPr>
              <w:t xml:space="preserve"> </w:t>
            </w:r>
            <w:r>
              <w:rPr>
                <w:rFonts w:ascii="Arial" w:eastAsia="Arial" w:hAnsi="Arial" w:cs="Arial"/>
                <w:sz w:val="16"/>
                <w:szCs w:val="16"/>
              </w:rPr>
              <w:t>Tensão de Alimentação: 220V, com frequência de 50-60Hz.</w:t>
            </w:r>
            <w:r w:rsidR="00E42221">
              <w:rPr>
                <w:rFonts w:ascii="Arial" w:eastAsia="Arial" w:hAnsi="Arial" w:cs="Arial"/>
                <w:sz w:val="16"/>
                <w:szCs w:val="16"/>
              </w:rPr>
              <w:t xml:space="preserve"> </w:t>
            </w:r>
            <w:r>
              <w:rPr>
                <w:rFonts w:ascii="Arial" w:eastAsia="Arial" w:hAnsi="Arial" w:cs="Arial"/>
                <w:sz w:val="16"/>
                <w:szCs w:val="16"/>
              </w:rPr>
              <w:t>Capacidade do Reservatório (Tanque): Mínimo de 3 (três) litros para fluido de fumaça.</w:t>
            </w:r>
            <w:r w:rsidR="00E42221">
              <w:rPr>
                <w:rFonts w:ascii="Arial" w:eastAsia="Arial" w:hAnsi="Arial" w:cs="Arial"/>
                <w:sz w:val="16"/>
                <w:szCs w:val="16"/>
              </w:rPr>
              <w:t xml:space="preserve"> </w:t>
            </w:r>
            <w:r>
              <w:rPr>
                <w:rFonts w:ascii="Arial" w:eastAsia="Arial" w:hAnsi="Arial" w:cs="Arial"/>
                <w:sz w:val="16"/>
                <w:szCs w:val="16"/>
              </w:rPr>
              <w:t>Vazão/Rendimento de Fumaça: Capacidade de produção de aproximadamente 8.000 CFM (pés cúbicos por minuto).</w:t>
            </w:r>
            <w:r w:rsidR="00E42221">
              <w:rPr>
                <w:rFonts w:ascii="Arial" w:eastAsia="Arial" w:hAnsi="Arial" w:cs="Arial"/>
                <w:sz w:val="16"/>
                <w:szCs w:val="16"/>
              </w:rPr>
              <w:t xml:space="preserve"> </w:t>
            </w:r>
            <w:r>
              <w:rPr>
                <w:rFonts w:ascii="Arial" w:eastAsia="Arial" w:hAnsi="Arial" w:cs="Arial"/>
                <w:sz w:val="16"/>
                <w:szCs w:val="16"/>
              </w:rPr>
              <w:t>Desempenho Térmico: * Tempo de aquecimento inicial: máximo de 5 minutos.</w:t>
            </w:r>
            <w:r w:rsidR="00E42221">
              <w:rPr>
                <w:rFonts w:ascii="Arial" w:eastAsia="Arial" w:hAnsi="Arial" w:cs="Arial"/>
                <w:sz w:val="16"/>
                <w:szCs w:val="16"/>
              </w:rPr>
              <w:t xml:space="preserve"> </w:t>
            </w:r>
            <w:r>
              <w:rPr>
                <w:rFonts w:ascii="Arial" w:eastAsia="Arial" w:hAnsi="Arial" w:cs="Arial"/>
                <w:sz w:val="16"/>
                <w:szCs w:val="16"/>
              </w:rPr>
              <w:t>Tempo de reaquecimento entre disparos: máximo de 10 minutos.</w:t>
            </w:r>
            <w:r w:rsidR="00E42221">
              <w:rPr>
                <w:rFonts w:ascii="Arial" w:eastAsia="Arial" w:hAnsi="Arial" w:cs="Arial"/>
                <w:sz w:val="16"/>
                <w:szCs w:val="16"/>
              </w:rPr>
              <w:t xml:space="preserve"> </w:t>
            </w:r>
            <w:r>
              <w:rPr>
                <w:rFonts w:ascii="Arial" w:eastAsia="Arial" w:hAnsi="Arial" w:cs="Arial"/>
                <w:sz w:val="16"/>
                <w:szCs w:val="16"/>
              </w:rPr>
              <w:t>Projeção: Distância máxima de saída/jato de fumaça de até 50 metros.</w:t>
            </w:r>
            <w:r w:rsidR="00E42221">
              <w:rPr>
                <w:rFonts w:ascii="Arial" w:eastAsia="Arial" w:hAnsi="Arial" w:cs="Arial"/>
                <w:sz w:val="16"/>
                <w:szCs w:val="16"/>
              </w:rPr>
              <w:t xml:space="preserve"> </w:t>
            </w:r>
            <w:r>
              <w:rPr>
                <w:rFonts w:ascii="Arial" w:eastAsia="Arial" w:hAnsi="Arial" w:cs="Arial"/>
                <w:sz w:val="16"/>
                <w:szCs w:val="16"/>
              </w:rPr>
              <w:t>Controle e Operação:</w:t>
            </w:r>
            <w:r w:rsidR="00E42221">
              <w:rPr>
                <w:rFonts w:ascii="Arial" w:eastAsia="Arial" w:hAnsi="Arial" w:cs="Arial"/>
                <w:sz w:val="16"/>
                <w:szCs w:val="16"/>
              </w:rPr>
              <w:t xml:space="preserve"> </w:t>
            </w:r>
            <w:r>
              <w:rPr>
                <w:rFonts w:ascii="Arial" w:eastAsia="Arial" w:hAnsi="Arial" w:cs="Arial"/>
                <w:sz w:val="16"/>
                <w:szCs w:val="16"/>
              </w:rPr>
              <w:t>Suporte a protocolo de comunicação DMX512, operando em 1 (um) canal dedicado para acionamento.</w:t>
            </w:r>
          </w:p>
          <w:p w14:paraId="3D9F2432" w14:textId="43E5562C" w:rsidR="00276BB0" w:rsidRDefault="00000000" w:rsidP="00E42221">
            <w:pPr>
              <w:spacing w:after="0" w:line="240" w:lineRule="auto"/>
              <w:jc w:val="both"/>
              <w:rPr>
                <w:rFonts w:ascii="Arial" w:eastAsia="Arial" w:hAnsi="Arial" w:cs="Arial"/>
                <w:sz w:val="16"/>
                <w:szCs w:val="16"/>
              </w:rPr>
            </w:pPr>
            <w:r>
              <w:rPr>
                <w:rFonts w:ascii="Arial" w:eastAsia="Arial" w:hAnsi="Arial" w:cs="Arial"/>
                <w:sz w:val="16"/>
                <w:szCs w:val="16"/>
              </w:rPr>
              <w:t>Acompanha controle remoto sem fio com alcance de sinal de, no mínimo, 25 metros em área livre.</w:t>
            </w:r>
            <w:r w:rsidR="00E42221">
              <w:rPr>
                <w:rFonts w:ascii="Arial" w:eastAsia="Arial" w:hAnsi="Arial" w:cs="Arial"/>
                <w:sz w:val="16"/>
                <w:szCs w:val="16"/>
              </w:rPr>
              <w:t xml:space="preserve"> </w:t>
            </w:r>
            <w:r>
              <w:rPr>
                <w:rFonts w:ascii="Arial" w:eastAsia="Arial" w:hAnsi="Arial" w:cs="Arial"/>
                <w:sz w:val="16"/>
                <w:szCs w:val="16"/>
              </w:rPr>
              <w:t>Unidade de Fornecimento: 1 (uma) peça.</w:t>
            </w:r>
            <w:r w:rsidR="00E42221">
              <w:rPr>
                <w:rFonts w:ascii="Arial" w:eastAsia="Arial" w:hAnsi="Arial" w:cs="Arial"/>
                <w:sz w:val="16"/>
                <w:szCs w:val="16"/>
              </w:rPr>
              <w:t xml:space="preserve"> </w:t>
            </w:r>
            <w:r>
              <w:rPr>
                <w:rFonts w:ascii="Arial" w:eastAsia="Arial" w:hAnsi="Arial" w:cs="Arial"/>
                <w:sz w:val="16"/>
                <w:szCs w:val="16"/>
              </w:rPr>
              <w:t>Acessórios Obrigatórios: O equipamento deve ser entregue acompanhado de 1 (um) controle remoto sem fio (com bateria/pilha inclusa), cabo de alimentação elétrica compatível e manual de instruções.</w:t>
            </w:r>
          </w:p>
        </w:tc>
        <w:tc>
          <w:tcPr>
            <w:tcW w:w="992" w:type="dxa"/>
            <w:tcBorders>
              <w:top w:val="single" w:sz="4" w:space="0" w:color="000000"/>
              <w:left w:val="single" w:sz="4" w:space="0" w:color="000000"/>
              <w:bottom w:val="single" w:sz="4" w:space="0" w:color="auto"/>
              <w:right w:val="single" w:sz="4" w:space="0" w:color="000000"/>
            </w:tcBorders>
            <w:vAlign w:val="center"/>
          </w:tcPr>
          <w:p w14:paraId="1D3C6CD4" w14:textId="02660B2D" w:rsidR="00276BB0" w:rsidRDefault="00956B32" w:rsidP="00956B32">
            <w:pPr>
              <w:spacing w:after="0" w:line="240" w:lineRule="auto"/>
              <w:jc w:val="center"/>
              <w:rPr>
                <w:rFonts w:ascii="Arial" w:eastAsia="Arial" w:hAnsi="Arial" w:cs="Arial"/>
                <w:sz w:val="16"/>
                <w:szCs w:val="16"/>
              </w:rPr>
            </w:pPr>
            <w:r w:rsidRPr="00956B32">
              <w:rPr>
                <w:rFonts w:ascii="Arial" w:eastAsia="Arial" w:hAnsi="Arial" w:cs="Arial"/>
                <w:sz w:val="16"/>
                <w:szCs w:val="16"/>
              </w:rPr>
              <w:t>611641</w:t>
            </w:r>
          </w:p>
        </w:tc>
        <w:tc>
          <w:tcPr>
            <w:tcW w:w="851" w:type="dxa"/>
            <w:tcBorders>
              <w:top w:val="single" w:sz="4" w:space="0" w:color="000000"/>
              <w:left w:val="single" w:sz="4" w:space="0" w:color="000000"/>
              <w:bottom w:val="single" w:sz="4" w:space="0" w:color="auto"/>
              <w:right w:val="single" w:sz="4" w:space="0" w:color="000000"/>
            </w:tcBorders>
            <w:vAlign w:val="center"/>
          </w:tcPr>
          <w:p w14:paraId="3227D29D" w14:textId="77777777" w:rsidR="00276BB0" w:rsidRDefault="00000000" w:rsidP="00956B32">
            <w:pPr>
              <w:spacing w:after="0" w:line="240" w:lineRule="auto"/>
              <w:jc w:val="center"/>
              <w:rPr>
                <w:rFonts w:ascii="Arial" w:eastAsia="Arial" w:hAnsi="Arial" w:cs="Arial"/>
                <w:sz w:val="16"/>
                <w:szCs w:val="16"/>
              </w:rPr>
            </w:pPr>
            <w:r>
              <w:rPr>
                <w:rFonts w:ascii="Arial" w:eastAsia="Arial" w:hAnsi="Arial" w:cs="Arial"/>
                <w:sz w:val="16"/>
                <w:szCs w:val="16"/>
              </w:rPr>
              <w:t>UND</w:t>
            </w:r>
          </w:p>
        </w:tc>
        <w:tc>
          <w:tcPr>
            <w:tcW w:w="709" w:type="dxa"/>
            <w:tcBorders>
              <w:top w:val="single" w:sz="4" w:space="0" w:color="000000"/>
              <w:left w:val="single" w:sz="4" w:space="0" w:color="000000"/>
              <w:bottom w:val="single" w:sz="4" w:space="0" w:color="auto"/>
              <w:right w:val="single" w:sz="4" w:space="0" w:color="000000"/>
            </w:tcBorders>
            <w:vAlign w:val="center"/>
          </w:tcPr>
          <w:p w14:paraId="3CC7A375" w14:textId="77777777" w:rsidR="00276BB0" w:rsidRDefault="00000000" w:rsidP="00956B32">
            <w:pPr>
              <w:spacing w:after="0" w:line="240" w:lineRule="auto"/>
              <w:jc w:val="center"/>
              <w:rPr>
                <w:rFonts w:ascii="Arial" w:eastAsia="Arial" w:hAnsi="Arial" w:cs="Arial"/>
                <w:sz w:val="16"/>
                <w:szCs w:val="16"/>
              </w:rPr>
            </w:pPr>
            <w:r>
              <w:rPr>
                <w:rFonts w:ascii="Arial" w:eastAsia="Arial" w:hAnsi="Arial" w:cs="Arial"/>
                <w:sz w:val="16"/>
                <w:szCs w:val="16"/>
              </w:rPr>
              <w:t>01</w:t>
            </w:r>
          </w:p>
        </w:tc>
        <w:tc>
          <w:tcPr>
            <w:tcW w:w="1281" w:type="dxa"/>
            <w:tcBorders>
              <w:top w:val="single" w:sz="4" w:space="0" w:color="000000"/>
              <w:left w:val="single" w:sz="4" w:space="0" w:color="000000"/>
              <w:bottom w:val="single" w:sz="4" w:space="0" w:color="auto"/>
              <w:right w:val="single" w:sz="4" w:space="0" w:color="000000"/>
            </w:tcBorders>
            <w:vAlign w:val="center"/>
          </w:tcPr>
          <w:p w14:paraId="51D691D9" w14:textId="4CAFC204" w:rsidR="00276BB0" w:rsidRDefault="00956B32" w:rsidP="00956B32">
            <w:pPr>
              <w:spacing w:after="0" w:line="240" w:lineRule="auto"/>
              <w:jc w:val="center"/>
              <w:rPr>
                <w:rFonts w:ascii="Arial" w:eastAsia="Arial" w:hAnsi="Arial" w:cs="Arial"/>
                <w:sz w:val="16"/>
                <w:szCs w:val="16"/>
              </w:rPr>
            </w:pPr>
            <w:r w:rsidRPr="00956B32">
              <w:rPr>
                <w:rFonts w:ascii="Arial" w:eastAsia="Arial" w:hAnsi="Arial" w:cs="Arial"/>
                <w:sz w:val="16"/>
                <w:szCs w:val="16"/>
              </w:rPr>
              <w:t>R$ 2.000</w:t>
            </w:r>
            <w:r>
              <w:rPr>
                <w:rFonts w:ascii="Arial" w:eastAsia="Arial" w:hAnsi="Arial" w:cs="Arial"/>
                <w:sz w:val="16"/>
                <w:szCs w:val="16"/>
              </w:rPr>
              <w:t>,</w:t>
            </w:r>
            <w:r w:rsidRPr="00956B32">
              <w:rPr>
                <w:rFonts w:ascii="Arial" w:eastAsia="Arial" w:hAnsi="Arial" w:cs="Arial"/>
                <w:sz w:val="16"/>
                <w:szCs w:val="16"/>
              </w:rPr>
              <w:t>00</w:t>
            </w:r>
          </w:p>
        </w:tc>
        <w:tc>
          <w:tcPr>
            <w:tcW w:w="1417" w:type="dxa"/>
            <w:tcBorders>
              <w:top w:val="single" w:sz="4" w:space="0" w:color="000000"/>
              <w:left w:val="single" w:sz="4" w:space="0" w:color="000000"/>
              <w:bottom w:val="single" w:sz="4" w:space="0" w:color="auto"/>
              <w:right w:val="single" w:sz="4" w:space="0" w:color="000000"/>
            </w:tcBorders>
            <w:vAlign w:val="center"/>
          </w:tcPr>
          <w:p w14:paraId="2FA62393" w14:textId="1877417B" w:rsidR="00276BB0" w:rsidRDefault="00956B32" w:rsidP="00956B32">
            <w:pPr>
              <w:spacing w:after="0" w:line="240" w:lineRule="auto"/>
              <w:jc w:val="center"/>
              <w:rPr>
                <w:rFonts w:ascii="Arial" w:eastAsia="Arial" w:hAnsi="Arial" w:cs="Arial"/>
                <w:sz w:val="16"/>
                <w:szCs w:val="16"/>
              </w:rPr>
            </w:pPr>
            <w:r w:rsidRPr="00956B32">
              <w:rPr>
                <w:rFonts w:ascii="Arial" w:eastAsia="Arial" w:hAnsi="Arial" w:cs="Arial"/>
                <w:sz w:val="16"/>
                <w:szCs w:val="16"/>
              </w:rPr>
              <w:t>R$ 2.000</w:t>
            </w:r>
            <w:r>
              <w:rPr>
                <w:rFonts w:ascii="Arial" w:eastAsia="Arial" w:hAnsi="Arial" w:cs="Arial"/>
                <w:sz w:val="16"/>
                <w:szCs w:val="16"/>
              </w:rPr>
              <w:t>,</w:t>
            </w:r>
            <w:r w:rsidRPr="00956B32">
              <w:rPr>
                <w:rFonts w:ascii="Arial" w:eastAsia="Arial" w:hAnsi="Arial" w:cs="Arial"/>
                <w:sz w:val="16"/>
                <w:szCs w:val="16"/>
              </w:rPr>
              <w:t>00</w:t>
            </w:r>
          </w:p>
        </w:tc>
        <w:tc>
          <w:tcPr>
            <w:tcW w:w="1985" w:type="dxa"/>
            <w:tcBorders>
              <w:top w:val="single" w:sz="4" w:space="0" w:color="000000"/>
              <w:left w:val="single" w:sz="4" w:space="0" w:color="000000"/>
              <w:bottom w:val="single" w:sz="4" w:space="0" w:color="auto"/>
              <w:right w:val="single" w:sz="4" w:space="0" w:color="000000"/>
            </w:tcBorders>
            <w:vAlign w:val="center"/>
          </w:tcPr>
          <w:p w14:paraId="13AF8DE7" w14:textId="77777777" w:rsidR="00276BB0" w:rsidRDefault="00000000">
            <w:pPr>
              <w:spacing w:after="0" w:line="240" w:lineRule="auto"/>
              <w:rPr>
                <w:rFonts w:ascii="Arial" w:eastAsia="Arial" w:hAnsi="Arial" w:cs="Arial"/>
                <w:sz w:val="16"/>
                <w:szCs w:val="16"/>
              </w:rPr>
            </w:pPr>
            <w:r>
              <w:rPr>
                <w:rFonts w:ascii="Arial" w:eastAsia="Arial" w:hAnsi="Arial" w:cs="Arial"/>
                <w:noProof/>
                <w:sz w:val="16"/>
                <w:szCs w:val="16"/>
              </w:rPr>
              <w:drawing>
                <wp:inline distT="114300" distB="114300" distL="114300" distR="114300" wp14:anchorId="2E92EC59" wp14:editId="5581EF9E">
                  <wp:extent cx="1162050" cy="1168400"/>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3"/>
                          <a:srcRect/>
                          <a:stretch>
                            <a:fillRect/>
                          </a:stretch>
                        </pic:blipFill>
                        <pic:spPr>
                          <a:xfrm>
                            <a:off x="0" y="0"/>
                            <a:ext cx="1162050" cy="1168400"/>
                          </a:xfrm>
                          <a:prstGeom prst="rect">
                            <a:avLst/>
                          </a:prstGeom>
                          <a:ln/>
                        </pic:spPr>
                      </pic:pic>
                    </a:graphicData>
                  </a:graphic>
                </wp:inline>
              </w:drawing>
            </w:r>
          </w:p>
        </w:tc>
      </w:tr>
      <w:tr w:rsidR="00276BB0" w14:paraId="55D8BF49" w14:textId="77777777" w:rsidTr="00BD2E71">
        <w:trPr>
          <w:trHeight w:val="330"/>
        </w:trPr>
        <w:tc>
          <w:tcPr>
            <w:tcW w:w="704" w:type="dxa"/>
            <w:tcBorders>
              <w:top w:val="single" w:sz="4" w:space="0" w:color="auto"/>
              <w:left w:val="single" w:sz="4" w:space="0" w:color="auto"/>
              <w:bottom w:val="single" w:sz="4" w:space="0" w:color="auto"/>
              <w:right w:val="single" w:sz="4" w:space="0" w:color="auto"/>
            </w:tcBorders>
            <w:vAlign w:val="center"/>
          </w:tcPr>
          <w:p w14:paraId="4865C6A4" w14:textId="58182B02" w:rsidR="00276BB0" w:rsidRDefault="00956B32" w:rsidP="00956B32">
            <w:pPr>
              <w:spacing w:after="0" w:line="240" w:lineRule="auto"/>
              <w:jc w:val="center"/>
              <w:rPr>
                <w:rFonts w:ascii="Arial" w:eastAsia="Arial" w:hAnsi="Arial" w:cs="Arial"/>
                <w:sz w:val="16"/>
                <w:szCs w:val="16"/>
              </w:rPr>
            </w:pPr>
            <w:r>
              <w:rPr>
                <w:rFonts w:ascii="Arial" w:eastAsia="Arial" w:hAnsi="Arial" w:cs="Arial"/>
                <w:sz w:val="16"/>
                <w:szCs w:val="16"/>
              </w:rPr>
              <w:t>07</w:t>
            </w:r>
          </w:p>
        </w:tc>
        <w:tc>
          <w:tcPr>
            <w:tcW w:w="3549" w:type="dxa"/>
            <w:tcBorders>
              <w:top w:val="single" w:sz="4" w:space="0" w:color="auto"/>
              <w:left w:val="single" w:sz="4" w:space="0" w:color="auto"/>
              <w:bottom w:val="single" w:sz="4" w:space="0" w:color="auto"/>
              <w:right w:val="single" w:sz="4" w:space="0" w:color="auto"/>
            </w:tcBorders>
            <w:vAlign w:val="center"/>
          </w:tcPr>
          <w:p w14:paraId="2D6DE357" w14:textId="54C75BE6" w:rsidR="00276BB0" w:rsidRDefault="00000000" w:rsidP="00956B32">
            <w:pPr>
              <w:spacing w:after="0" w:line="240" w:lineRule="auto"/>
              <w:jc w:val="both"/>
              <w:rPr>
                <w:rFonts w:ascii="Arial" w:eastAsia="Arial" w:hAnsi="Arial" w:cs="Arial"/>
                <w:sz w:val="16"/>
                <w:szCs w:val="16"/>
              </w:rPr>
            </w:pPr>
            <w:r>
              <w:rPr>
                <w:rFonts w:ascii="Arial" w:eastAsia="Arial" w:hAnsi="Arial" w:cs="Arial"/>
                <w:b/>
                <w:bCs/>
                <w:sz w:val="16"/>
                <w:szCs w:val="16"/>
              </w:rPr>
              <w:t xml:space="preserve">KIT COMPLETO DE ESTRUTURAS METÁLICAS EM ALUMÍNIO (BOX TRUSS PADRÃO Q-25). </w:t>
            </w:r>
            <w:r>
              <w:rPr>
                <w:rFonts w:ascii="Arial" w:eastAsia="Arial" w:hAnsi="Arial" w:cs="Arial"/>
                <w:sz w:val="16"/>
                <w:szCs w:val="16"/>
              </w:rPr>
              <w:t>Características mínimas: Conjunto de estruturas metálicas treliçadas em alumínio (linha Q-25), projetado para a montagem de grids, traves, totens e suportes para equipamentos de áudio, iluminação cênica e efeitos visuais. O conjunto deve ser fornecido completo, com todos os módulos, bases e ferragens de conexão, atendendo, obrigatoriamente, às seguintes especificações técnicas mínimas:</w:t>
            </w:r>
            <w:r w:rsidR="00956B32">
              <w:rPr>
                <w:rFonts w:ascii="Arial" w:eastAsia="Arial" w:hAnsi="Arial" w:cs="Arial"/>
                <w:sz w:val="16"/>
                <w:szCs w:val="16"/>
              </w:rPr>
              <w:t xml:space="preserve"> </w:t>
            </w:r>
            <w:r>
              <w:rPr>
                <w:rFonts w:ascii="Arial" w:eastAsia="Arial" w:hAnsi="Arial" w:cs="Arial"/>
                <w:sz w:val="16"/>
                <w:szCs w:val="16"/>
              </w:rPr>
              <w:t>Especificações Técnicas Gerais (Padrão Construtivo):</w:t>
            </w:r>
            <w:r w:rsidR="00956B32">
              <w:rPr>
                <w:rFonts w:ascii="Arial" w:eastAsia="Arial" w:hAnsi="Arial" w:cs="Arial"/>
                <w:sz w:val="16"/>
                <w:szCs w:val="16"/>
              </w:rPr>
              <w:t xml:space="preserve"> </w:t>
            </w:r>
            <w:r>
              <w:rPr>
                <w:rFonts w:ascii="Arial" w:eastAsia="Arial" w:hAnsi="Arial" w:cs="Arial"/>
                <w:sz w:val="16"/>
                <w:szCs w:val="16"/>
              </w:rPr>
              <w:t>Material: Tubos principais fabricados em liga estrutural de alumínio de alta resistência (padrão 6351-T6 ou equivalente superior).</w:t>
            </w:r>
            <w:r w:rsidR="00956B32">
              <w:rPr>
                <w:rFonts w:ascii="Arial" w:eastAsia="Arial" w:hAnsi="Arial" w:cs="Arial"/>
                <w:sz w:val="16"/>
                <w:szCs w:val="16"/>
              </w:rPr>
              <w:t xml:space="preserve"> </w:t>
            </w:r>
            <w:r>
              <w:rPr>
                <w:rFonts w:ascii="Arial" w:eastAsia="Arial" w:hAnsi="Arial" w:cs="Arial"/>
                <w:sz w:val="16"/>
                <w:szCs w:val="16"/>
              </w:rPr>
              <w:t>Dimensões dos Tubos: Tubos principais com medida mínima de 1 1/2" x 3/32".</w:t>
            </w:r>
            <w:r w:rsidR="00956B32">
              <w:rPr>
                <w:rFonts w:ascii="Arial" w:eastAsia="Arial" w:hAnsi="Arial" w:cs="Arial"/>
                <w:sz w:val="16"/>
                <w:szCs w:val="16"/>
              </w:rPr>
              <w:t xml:space="preserve"> </w:t>
            </w:r>
            <w:r>
              <w:rPr>
                <w:rFonts w:ascii="Arial" w:eastAsia="Arial" w:hAnsi="Arial" w:cs="Arial"/>
                <w:sz w:val="16"/>
                <w:szCs w:val="16"/>
              </w:rPr>
              <w:t>Capacidade de Carga: O sistema deve suportar uma carga máxima distribuída de, no mínimo, 41 Kg/mt em um vão máximo de 10 metros de montagem livre.</w:t>
            </w:r>
            <w:r w:rsidR="00956B32">
              <w:rPr>
                <w:rFonts w:ascii="Arial" w:eastAsia="Arial" w:hAnsi="Arial" w:cs="Arial"/>
                <w:sz w:val="16"/>
                <w:szCs w:val="16"/>
              </w:rPr>
              <w:t xml:space="preserve"> </w:t>
            </w:r>
            <w:r>
              <w:rPr>
                <w:rFonts w:ascii="Arial" w:eastAsia="Arial" w:hAnsi="Arial" w:cs="Arial"/>
                <w:sz w:val="16"/>
                <w:szCs w:val="16"/>
              </w:rPr>
              <w:t>Padrão/Modelo: Linha Q-25 (estrutura de face quadrada com aproximadamente 25 cm x 25 cm de face externa).</w:t>
            </w:r>
            <w:r w:rsidR="00956B32">
              <w:rPr>
                <w:rFonts w:ascii="Arial" w:eastAsia="Arial" w:hAnsi="Arial" w:cs="Arial"/>
                <w:sz w:val="16"/>
                <w:szCs w:val="16"/>
              </w:rPr>
              <w:t xml:space="preserve"> </w:t>
            </w:r>
            <w:r>
              <w:rPr>
                <w:rFonts w:ascii="Arial" w:eastAsia="Arial" w:hAnsi="Arial" w:cs="Arial"/>
                <w:sz w:val="16"/>
                <w:szCs w:val="16"/>
              </w:rPr>
              <w:t>Acabamento: Alumínio natural.</w:t>
            </w:r>
            <w:r w:rsidR="00956B32">
              <w:rPr>
                <w:rFonts w:ascii="Arial" w:eastAsia="Arial" w:hAnsi="Arial" w:cs="Arial"/>
                <w:sz w:val="16"/>
                <w:szCs w:val="16"/>
              </w:rPr>
              <w:t xml:space="preserve"> </w:t>
            </w:r>
            <w:r>
              <w:rPr>
                <w:rFonts w:ascii="Arial" w:eastAsia="Arial" w:hAnsi="Arial" w:cs="Arial"/>
                <w:sz w:val="16"/>
                <w:szCs w:val="16"/>
              </w:rPr>
              <w:t>Composição do Conjunto (Itens Inclusos e Quantidades):</w:t>
            </w:r>
            <w:r w:rsidR="00956B32">
              <w:rPr>
                <w:rFonts w:ascii="Arial" w:eastAsia="Arial" w:hAnsi="Arial" w:cs="Arial"/>
                <w:sz w:val="16"/>
                <w:szCs w:val="16"/>
              </w:rPr>
              <w:t xml:space="preserve"> </w:t>
            </w:r>
            <w:r>
              <w:rPr>
                <w:rFonts w:ascii="Arial" w:eastAsia="Arial" w:hAnsi="Arial" w:cs="Arial"/>
                <w:sz w:val="16"/>
                <w:szCs w:val="16"/>
              </w:rPr>
              <w:t>O fornecedor deverá entregar o kit contendo, obrigatoriamente, a seguinte relação de peças modulares e acessórios de montagem:</w:t>
            </w:r>
            <w:r w:rsidR="00956B32">
              <w:rPr>
                <w:rFonts w:ascii="Arial" w:eastAsia="Arial" w:hAnsi="Arial" w:cs="Arial"/>
                <w:sz w:val="16"/>
                <w:szCs w:val="16"/>
              </w:rPr>
              <w:t xml:space="preserve"> </w:t>
            </w:r>
            <w:r>
              <w:rPr>
                <w:rFonts w:ascii="Arial" w:eastAsia="Arial" w:hAnsi="Arial" w:cs="Arial"/>
                <w:sz w:val="16"/>
                <w:szCs w:val="16"/>
              </w:rPr>
              <w:t>06 (seis) unidades de Torre/Módulo Reto de 2,5 metros de comprimento (Q-25).</w:t>
            </w:r>
            <w:r w:rsidR="00956B32">
              <w:rPr>
                <w:rFonts w:ascii="Arial" w:eastAsia="Arial" w:hAnsi="Arial" w:cs="Arial"/>
                <w:sz w:val="16"/>
                <w:szCs w:val="16"/>
              </w:rPr>
              <w:t xml:space="preserve"> </w:t>
            </w:r>
            <w:r>
              <w:rPr>
                <w:rFonts w:ascii="Arial" w:eastAsia="Arial" w:hAnsi="Arial" w:cs="Arial"/>
                <w:sz w:val="16"/>
                <w:szCs w:val="16"/>
              </w:rPr>
              <w:t>02 (duas) unidades de Torre/Módulo Reto de 1,0 metro de comprimento (Q-25).</w:t>
            </w:r>
            <w:r w:rsidR="00956B32">
              <w:rPr>
                <w:rFonts w:ascii="Arial" w:eastAsia="Arial" w:hAnsi="Arial" w:cs="Arial"/>
                <w:sz w:val="16"/>
                <w:szCs w:val="16"/>
              </w:rPr>
              <w:t xml:space="preserve"> </w:t>
            </w:r>
            <w:r>
              <w:rPr>
                <w:rFonts w:ascii="Arial" w:eastAsia="Arial" w:hAnsi="Arial" w:cs="Arial"/>
                <w:sz w:val="16"/>
                <w:szCs w:val="16"/>
              </w:rPr>
              <w:t>04 (quatro) unidades de Cubo de Conexão com 5 faces (Q-25).</w:t>
            </w:r>
            <w:r w:rsidR="00956B32">
              <w:rPr>
                <w:rFonts w:ascii="Arial" w:eastAsia="Arial" w:hAnsi="Arial" w:cs="Arial"/>
                <w:sz w:val="16"/>
                <w:szCs w:val="16"/>
              </w:rPr>
              <w:t xml:space="preserve"> </w:t>
            </w:r>
            <w:r>
              <w:rPr>
                <w:rFonts w:ascii="Arial" w:eastAsia="Arial" w:hAnsi="Arial" w:cs="Arial"/>
                <w:sz w:val="16"/>
                <w:szCs w:val="16"/>
              </w:rPr>
              <w:t>04 (quatro) unidades de Cubo/Conexão Angular de 15° (Q-25).</w:t>
            </w:r>
            <w:r w:rsidR="00956B32">
              <w:rPr>
                <w:rFonts w:ascii="Arial" w:eastAsia="Arial" w:hAnsi="Arial" w:cs="Arial"/>
                <w:sz w:val="16"/>
                <w:szCs w:val="16"/>
              </w:rPr>
              <w:t xml:space="preserve"> </w:t>
            </w:r>
            <w:r>
              <w:rPr>
                <w:rFonts w:ascii="Arial" w:eastAsia="Arial" w:hAnsi="Arial" w:cs="Arial"/>
                <w:sz w:val="16"/>
                <w:szCs w:val="16"/>
              </w:rPr>
              <w:t>04 (quatro) unidades de Base de Sustentação plana em metal/alumínio (Q-25).</w:t>
            </w:r>
            <w:r w:rsidR="00956B32">
              <w:rPr>
                <w:rFonts w:ascii="Arial" w:eastAsia="Arial" w:hAnsi="Arial" w:cs="Arial"/>
                <w:sz w:val="16"/>
                <w:szCs w:val="16"/>
              </w:rPr>
              <w:t xml:space="preserve"> </w:t>
            </w:r>
            <w:r>
              <w:rPr>
                <w:rFonts w:ascii="Arial" w:eastAsia="Arial" w:hAnsi="Arial" w:cs="Arial"/>
                <w:sz w:val="16"/>
                <w:szCs w:val="16"/>
              </w:rPr>
              <w:t xml:space="preserve">80 (oitenta) unidades de Kit de Parafusos/Conexões e Porcas, próprios para o </w:t>
            </w:r>
            <w:r>
              <w:rPr>
                <w:rFonts w:ascii="Arial" w:eastAsia="Arial" w:hAnsi="Arial" w:cs="Arial"/>
                <w:sz w:val="16"/>
                <w:szCs w:val="16"/>
              </w:rPr>
              <w:lastRenderedPageBreak/>
              <w:t>travamento e união segura de todas as estruturas da linha Q-25.</w:t>
            </w:r>
            <w:r w:rsidR="00956B32">
              <w:rPr>
                <w:rFonts w:ascii="Arial" w:eastAsia="Arial" w:hAnsi="Arial" w:cs="Arial"/>
                <w:sz w:val="16"/>
                <w:szCs w:val="16"/>
              </w:rPr>
              <w:t xml:space="preserve"> </w:t>
            </w:r>
            <w:r>
              <w:rPr>
                <w:rFonts w:ascii="Arial" w:eastAsia="Arial" w:hAnsi="Arial" w:cs="Arial"/>
                <w:sz w:val="16"/>
                <w:szCs w:val="16"/>
              </w:rPr>
              <w:t>Unidade de Fornecimento: 1 (um) Lote/Conjunto completo.</w:t>
            </w:r>
          </w:p>
        </w:tc>
        <w:tc>
          <w:tcPr>
            <w:tcW w:w="992" w:type="dxa"/>
            <w:tcBorders>
              <w:top w:val="single" w:sz="4" w:space="0" w:color="auto"/>
              <w:left w:val="single" w:sz="4" w:space="0" w:color="auto"/>
              <w:bottom w:val="single" w:sz="4" w:space="0" w:color="auto"/>
              <w:right w:val="single" w:sz="4" w:space="0" w:color="auto"/>
            </w:tcBorders>
            <w:vAlign w:val="center"/>
          </w:tcPr>
          <w:p w14:paraId="6BB7478F" w14:textId="682CBF02" w:rsidR="00276BB0" w:rsidRDefault="00BD2E71" w:rsidP="00BD2E71">
            <w:pPr>
              <w:spacing w:after="0" w:line="240" w:lineRule="auto"/>
              <w:jc w:val="center"/>
              <w:rPr>
                <w:rFonts w:ascii="Arial" w:eastAsia="Arial" w:hAnsi="Arial" w:cs="Arial"/>
                <w:sz w:val="16"/>
                <w:szCs w:val="16"/>
              </w:rPr>
            </w:pPr>
            <w:r w:rsidRPr="00BD2E71">
              <w:rPr>
                <w:rFonts w:ascii="Arial" w:eastAsia="Arial" w:hAnsi="Arial" w:cs="Arial"/>
                <w:sz w:val="16"/>
                <w:szCs w:val="16"/>
              </w:rPr>
              <w:lastRenderedPageBreak/>
              <w:t>627636</w:t>
            </w:r>
          </w:p>
        </w:tc>
        <w:tc>
          <w:tcPr>
            <w:tcW w:w="851" w:type="dxa"/>
            <w:tcBorders>
              <w:top w:val="single" w:sz="4" w:space="0" w:color="auto"/>
              <w:left w:val="single" w:sz="4" w:space="0" w:color="auto"/>
              <w:bottom w:val="single" w:sz="4" w:space="0" w:color="auto"/>
              <w:right w:val="single" w:sz="4" w:space="0" w:color="auto"/>
            </w:tcBorders>
            <w:vAlign w:val="center"/>
          </w:tcPr>
          <w:p w14:paraId="714139AC" w14:textId="77777777" w:rsidR="00276BB0" w:rsidRDefault="00000000" w:rsidP="00BD2E71">
            <w:pPr>
              <w:spacing w:after="0" w:line="240" w:lineRule="auto"/>
              <w:jc w:val="center"/>
              <w:rPr>
                <w:rFonts w:ascii="Arial" w:eastAsia="Arial" w:hAnsi="Arial" w:cs="Arial"/>
                <w:sz w:val="16"/>
                <w:szCs w:val="16"/>
              </w:rPr>
            </w:pPr>
            <w:r>
              <w:rPr>
                <w:rFonts w:ascii="Arial" w:eastAsia="Arial" w:hAnsi="Arial" w:cs="Arial"/>
                <w:sz w:val="16"/>
                <w:szCs w:val="16"/>
              </w:rPr>
              <w:t>KIT</w:t>
            </w:r>
          </w:p>
        </w:tc>
        <w:tc>
          <w:tcPr>
            <w:tcW w:w="709" w:type="dxa"/>
            <w:tcBorders>
              <w:top w:val="single" w:sz="4" w:space="0" w:color="auto"/>
              <w:left w:val="single" w:sz="4" w:space="0" w:color="auto"/>
              <w:bottom w:val="single" w:sz="4" w:space="0" w:color="auto"/>
              <w:right w:val="single" w:sz="4" w:space="0" w:color="auto"/>
            </w:tcBorders>
            <w:vAlign w:val="center"/>
          </w:tcPr>
          <w:p w14:paraId="6E4E7E15" w14:textId="77777777" w:rsidR="00276BB0" w:rsidRDefault="00000000" w:rsidP="00BD2E71">
            <w:pPr>
              <w:spacing w:after="0" w:line="240" w:lineRule="auto"/>
              <w:jc w:val="center"/>
              <w:rPr>
                <w:rFonts w:ascii="Arial" w:eastAsia="Arial" w:hAnsi="Arial" w:cs="Arial"/>
                <w:sz w:val="16"/>
                <w:szCs w:val="16"/>
              </w:rPr>
            </w:pPr>
            <w:r>
              <w:rPr>
                <w:rFonts w:ascii="Arial" w:eastAsia="Arial" w:hAnsi="Arial" w:cs="Arial"/>
                <w:sz w:val="16"/>
                <w:szCs w:val="16"/>
              </w:rPr>
              <w:t>01</w:t>
            </w:r>
          </w:p>
        </w:tc>
        <w:tc>
          <w:tcPr>
            <w:tcW w:w="1281" w:type="dxa"/>
            <w:tcBorders>
              <w:top w:val="single" w:sz="4" w:space="0" w:color="auto"/>
              <w:left w:val="single" w:sz="4" w:space="0" w:color="auto"/>
              <w:bottom w:val="single" w:sz="4" w:space="0" w:color="auto"/>
              <w:right w:val="single" w:sz="4" w:space="0" w:color="auto"/>
            </w:tcBorders>
            <w:vAlign w:val="center"/>
          </w:tcPr>
          <w:p w14:paraId="5447DC8C" w14:textId="23C87B02" w:rsidR="00276BB0" w:rsidRDefault="00BD2E71" w:rsidP="00BD2E71">
            <w:pPr>
              <w:spacing w:after="0" w:line="240" w:lineRule="auto"/>
              <w:jc w:val="center"/>
              <w:rPr>
                <w:rFonts w:ascii="Arial" w:eastAsia="Arial" w:hAnsi="Arial" w:cs="Arial"/>
                <w:sz w:val="16"/>
                <w:szCs w:val="16"/>
              </w:rPr>
            </w:pPr>
            <w:r w:rsidRPr="00BD2E71">
              <w:rPr>
                <w:rFonts w:ascii="Arial" w:eastAsia="Arial" w:hAnsi="Arial" w:cs="Arial"/>
                <w:sz w:val="16"/>
                <w:szCs w:val="16"/>
              </w:rPr>
              <w:t>R$ 17.500</w:t>
            </w:r>
            <w:r>
              <w:rPr>
                <w:rFonts w:ascii="Arial" w:eastAsia="Arial" w:hAnsi="Arial" w:cs="Arial"/>
                <w:sz w:val="16"/>
                <w:szCs w:val="16"/>
              </w:rPr>
              <w:t>,</w:t>
            </w:r>
            <w:r w:rsidRPr="00BD2E71">
              <w:rPr>
                <w:rFonts w:ascii="Arial" w:eastAsia="Arial" w:hAnsi="Arial" w:cs="Arial"/>
                <w:sz w:val="16"/>
                <w:szCs w:val="16"/>
              </w:rPr>
              <w:t>30</w:t>
            </w:r>
          </w:p>
        </w:tc>
        <w:tc>
          <w:tcPr>
            <w:tcW w:w="1417" w:type="dxa"/>
            <w:tcBorders>
              <w:top w:val="single" w:sz="4" w:space="0" w:color="auto"/>
              <w:left w:val="single" w:sz="4" w:space="0" w:color="auto"/>
              <w:bottom w:val="single" w:sz="4" w:space="0" w:color="auto"/>
              <w:right w:val="single" w:sz="4" w:space="0" w:color="auto"/>
            </w:tcBorders>
            <w:vAlign w:val="center"/>
          </w:tcPr>
          <w:p w14:paraId="63E4B682" w14:textId="3F8BF277" w:rsidR="00276BB0" w:rsidRDefault="00BD2E71" w:rsidP="00BD2E71">
            <w:pPr>
              <w:spacing w:after="0" w:line="240" w:lineRule="auto"/>
              <w:jc w:val="center"/>
              <w:rPr>
                <w:rFonts w:ascii="Arial" w:eastAsia="Arial" w:hAnsi="Arial" w:cs="Arial"/>
                <w:sz w:val="16"/>
                <w:szCs w:val="16"/>
              </w:rPr>
            </w:pPr>
            <w:r w:rsidRPr="00BD2E71">
              <w:rPr>
                <w:rFonts w:ascii="Arial" w:eastAsia="Arial" w:hAnsi="Arial" w:cs="Arial"/>
                <w:sz w:val="16"/>
                <w:szCs w:val="16"/>
              </w:rPr>
              <w:t>R$ 17.500</w:t>
            </w:r>
            <w:r>
              <w:rPr>
                <w:rFonts w:ascii="Arial" w:eastAsia="Arial" w:hAnsi="Arial" w:cs="Arial"/>
                <w:sz w:val="16"/>
                <w:szCs w:val="16"/>
              </w:rPr>
              <w:t>,</w:t>
            </w:r>
            <w:r w:rsidRPr="00BD2E71">
              <w:rPr>
                <w:rFonts w:ascii="Arial" w:eastAsia="Arial" w:hAnsi="Arial" w:cs="Arial"/>
                <w:sz w:val="16"/>
                <w:szCs w:val="16"/>
              </w:rPr>
              <w:t>30</w:t>
            </w:r>
          </w:p>
        </w:tc>
        <w:tc>
          <w:tcPr>
            <w:tcW w:w="1985" w:type="dxa"/>
            <w:tcBorders>
              <w:top w:val="single" w:sz="4" w:space="0" w:color="auto"/>
              <w:left w:val="single" w:sz="4" w:space="0" w:color="auto"/>
              <w:bottom w:val="single" w:sz="4" w:space="0" w:color="auto"/>
              <w:right w:val="single" w:sz="4" w:space="0" w:color="auto"/>
            </w:tcBorders>
            <w:vAlign w:val="center"/>
          </w:tcPr>
          <w:p w14:paraId="583A7649" w14:textId="77777777" w:rsidR="00276BB0" w:rsidRDefault="00000000">
            <w:pPr>
              <w:spacing w:after="0" w:line="240" w:lineRule="auto"/>
              <w:rPr>
                <w:rFonts w:ascii="Arial" w:eastAsia="Arial" w:hAnsi="Arial" w:cs="Arial"/>
                <w:sz w:val="16"/>
                <w:szCs w:val="16"/>
              </w:rPr>
            </w:pPr>
            <w:r>
              <w:rPr>
                <w:rFonts w:ascii="Arial" w:eastAsia="Arial" w:hAnsi="Arial" w:cs="Arial"/>
                <w:noProof/>
                <w:sz w:val="16"/>
                <w:szCs w:val="16"/>
              </w:rPr>
              <w:drawing>
                <wp:inline distT="114300" distB="114300" distL="114300" distR="114300" wp14:anchorId="74D25FB4" wp14:editId="45AE7E64">
                  <wp:extent cx="1162050" cy="1168400"/>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4"/>
                          <a:srcRect/>
                          <a:stretch>
                            <a:fillRect/>
                          </a:stretch>
                        </pic:blipFill>
                        <pic:spPr>
                          <a:xfrm>
                            <a:off x="0" y="0"/>
                            <a:ext cx="1162050" cy="1168400"/>
                          </a:xfrm>
                          <a:prstGeom prst="rect">
                            <a:avLst/>
                          </a:prstGeom>
                          <a:ln/>
                        </pic:spPr>
                      </pic:pic>
                    </a:graphicData>
                  </a:graphic>
                </wp:inline>
              </w:drawing>
            </w:r>
          </w:p>
        </w:tc>
      </w:tr>
      <w:tr w:rsidR="00BD2E71" w14:paraId="31FBA0E0" w14:textId="77777777" w:rsidTr="00BD2E71">
        <w:trPr>
          <w:trHeight w:val="330"/>
        </w:trPr>
        <w:tc>
          <w:tcPr>
            <w:tcW w:w="704" w:type="dxa"/>
            <w:tcBorders>
              <w:top w:val="single" w:sz="4" w:space="0" w:color="auto"/>
              <w:left w:val="single" w:sz="4" w:space="0" w:color="auto"/>
              <w:bottom w:val="single" w:sz="4" w:space="0" w:color="auto"/>
              <w:right w:val="single" w:sz="4" w:space="0" w:color="auto"/>
            </w:tcBorders>
            <w:vAlign w:val="center"/>
          </w:tcPr>
          <w:p w14:paraId="32078AD4" w14:textId="41F7B4FD" w:rsidR="00BD2E71" w:rsidRDefault="00BD2E71" w:rsidP="00956B32">
            <w:pPr>
              <w:spacing w:after="0" w:line="240" w:lineRule="auto"/>
              <w:jc w:val="center"/>
              <w:rPr>
                <w:rFonts w:ascii="Arial" w:eastAsia="Arial" w:hAnsi="Arial" w:cs="Arial"/>
                <w:sz w:val="16"/>
                <w:szCs w:val="16"/>
              </w:rPr>
            </w:pPr>
            <w:r>
              <w:rPr>
                <w:rFonts w:ascii="Arial" w:eastAsia="Arial" w:hAnsi="Arial" w:cs="Arial"/>
                <w:sz w:val="16"/>
                <w:szCs w:val="16"/>
              </w:rPr>
              <w:t>08</w:t>
            </w:r>
          </w:p>
        </w:tc>
        <w:tc>
          <w:tcPr>
            <w:tcW w:w="3549" w:type="dxa"/>
            <w:tcBorders>
              <w:top w:val="single" w:sz="4" w:space="0" w:color="auto"/>
              <w:left w:val="single" w:sz="4" w:space="0" w:color="auto"/>
              <w:bottom w:val="single" w:sz="4" w:space="0" w:color="auto"/>
              <w:right w:val="single" w:sz="4" w:space="0" w:color="auto"/>
            </w:tcBorders>
            <w:vAlign w:val="center"/>
          </w:tcPr>
          <w:p w14:paraId="6665C63F" w14:textId="50CBAF2A" w:rsidR="00BD2E71" w:rsidRDefault="00BD2E71" w:rsidP="00BD2E71">
            <w:pPr>
              <w:spacing w:after="0" w:line="240" w:lineRule="auto"/>
              <w:jc w:val="both"/>
              <w:rPr>
                <w:rFonts w:ascii="Arial" w:eastAsia="Arial" w:hAnsi="Arial" w:cs="Arial"/>
                <w:b/>
                <w:bCs/>
                <w:sz w:val="16"/>
                <w:szCs w:val="16"/>
              </w:rPr>
            </w:pPr>
            <w:r w:rsidRPr="00BD2E71">
              <w:rPr>
                <w:rFonts w:ascii="Arial" w:eastAsia="Arial" w:hAnsi="Arial" w:cs="Arial"/>
                <w:b/>
                <w:bCs/>
                <w:sz w:val="16"/>
                <w:szCs w:val="16"/>
              </w:rPr>
              <w:t>GARRA DE FIXAÇÃO PROFISSIONAL</w:t>
            </w:r>
            <w:r>
              <w:rPr>
                <w:rFonts w:ascii="Arial" w:eastAsia="Arial" w:hAnsi="Arial" w:cs="Arial"/>
                <w:b/>
                <w:bCs/>
                <w:sz w:val="16"/>
                <w:szCs w:val="16"/>
              </w:rPr>
              <w:t>.</w:t>
            </w:r>
            <w:r w:rsidRPr="00BD2E71">
              <w:rPr>
                <w:rFonts w:ascii="Arial" w:eastAsia="Arial" w:hAnsi="Arial" w:cs="Arial"/>
                <w:b/>
                <w:bCs/>
                <w:sz w:val="16"/>
                <w:szCs w:val="16"/>
              </w:rPr>
              <w:t xml:space="preserve"> </w:t>
            </w:r>
            <w:r w:rsidRPr="00BD2E71">
              <w:rPr>
                <w:rFonts w:ascii="Arial" w:eastAsia="Arial" w:hAnsi="Arial" w:cs="Arial"/>
                <w:sz w:val="16"/>
                <w:szCs w:val="16"/>
              </w:rPr>
              <w:t>Tipo "Clamp" (algema) confeccionada em alumínio, projetada para a suspensão segura de equipamentos de áudio, iluminação cênica e efeitos visuais em estruturas metálicas. O material deve atender, obrigatoriamente, às seguintes especificações técnicas mínimas:</w:t>
            </w:r>
            <w:r>
              <w:rPr>
                <w:rFonts w:ascii="Arial" w:eastAsia="Arial" w:hAnsi="Arial" w:cs="Arial"/>
                <w:sz w:val="16"/>
                <w:szCs w:val="16"/>
              </w:rPr>
              <w:t xml:space="preserve"> </w:t>
            </w:r>
            <w:r w:rsidRPr="00BD2E71">
              <w:rPr>
                <w:rFonts w:ascii="Arial" w:eastAsia="Arial" w:hAnsi="Arial" w:cs="Arial"/>
                <w:sz w:val="16"/>
                <w:szCs w:val="16"/>
              </w:rPr>
              <w:t>Material de Fabricação: Estrutura fabricada inteiramente em liga de alumínio de alta resistência (não serão aceitas garras de plástico ou ligas metálicas de baixa qualidade/quebradiças).</w:t>
            </w:r>
            <w:r>
              <w:rPr>
                <w:rFonts w:ascii="Arial" w:eastAsia="Arial" w:hAnsi="Arial" w:cs="Arial"/>
                <w:sz w:val="16"/>
                <w:szCs w:val="16"/>
              </w:rPr>
              <w:t xml:space="preserve"> </w:t>
            </w:r>
            <w:r w:rsidRPr="00BD2E71">
              <w:rPr>
                <w:rFonts w:ascii="Arial" w:eastAsia="Arial" w:hAnsi="Arial" w:cs="Arial"/>
                <w:sz w:val="16"/>
                <w:szCs w:val="16"/>
              </w:rPr>
              <w:t>Capacidade de Carga (SWL): Suportar carga máxima de trabalho de, no mínimo, 90 kg por unidade.</w:t>
            </w:r>
            <w:r>
              <w:rPr>
                <w:rFonts w:ascii="Arial" w:eastAsia="Arial" w:hAnsi="Arial" w:cs="Arial"/>
                <w:sz w:val="16"/>
                <w:szCs w:val="16"/>
              </w:rPr>
              <w:t xml:space="preserve"> </w:t>
            </w:r>
            <w:r w:rsidRPr="00BD2E71">
              <w:rPr>
                <w:rFonts w:ascii="Arial" w:eastAsia="Arial" w:hAnsi="Arial" w:cs="Arial"/>
                <w:sz w:val="16"/>
                <w:szCs w:val="16"/>
              </w:rPr>
              <w:t>Compatibilidade (Estrutura): Perfil de encaixe projetado especificamente para ser compatível com tubos de estruturas metálicas padrão Box Truss das linhas Q25 e Q30.</w:t>
            </w:r>
            <w:r>
              <w:rPr>
                <w:rFonts w:ascii="Arial" w:eastAsia="Arial" w:hAnsi="Arial" w:cs="Arial"/>
                <w:sz w:val="16"/>
                <w:szCs w:val="16"/>
              </w:rPr>
              <w:t xml:space="preserve"> </w:t>
            </w:r>
            <w:r w:rsidRPr="00BD2E71">
              <w:rPr>
                <w:rFonts w:ascii="Arial" w:eastAsia="Arial" w:hAnsi="Arial" w:cs="Arial"/>
                <w:sz w:val="16"/>
                <w:szCs w:val="16"/>
              </w:rPr>
              <w:t>Sistema de Aperto no Tubo: Borboleta ergonômica e robusta para aperto manual firme e travamento seguro no tubo da estrutura, dispensando o uso obrigatório de ferramentas.</w:t>
            </w:r>
            <w:r>
              <w:rPr>
                <w:rFonts w:ascii="Arial" w:eastAsia="Arial" w:hAnsi="Arial" w:cs="Arial"/>
                <w:sz w:val="16"/>
                <w:szCs w:val="16"/>
              </w:rPr>
              <w:t xml:space="preserve"> </w:t>
            </w:r>
            <w:r w:rsidRPr="00BD2E71">
              <w:rPr>
                <w:rFonts w:ascii="Arial" w:eastAsia="Arial" w:hAnsi="Arial" w:cs="Arial"/>
                <w:sz w:val="16"/>
                <w:szCs w:val="16"/>
              </w:rPr>
              <w:t>Fixação do Equipamento: A garra deve acompanhar o respectivo parafuso principal, arruelas e porca (ou borboleta) para o acoplamento da alça (ômega) do refletor ou equipamento a ser suspenso.</w:t>
            </w:r>
            <w:r>
              <w:rPr>
                <w:rFonts w:ascii="Arial" w:eastAsia="Arial" w:hAnsi="Arial" w:cs="Arial"/>
                <w:sz w:val="16"/>
                <w:szCs w:val="16"/>
              </w:rPr>
              <w:t xml:space="preserve"> </w:t>
            </w:r>
            <w:r w:rsidRPr="00BD2E71">
              <w:rPr>
                <w:rFonts w:ascii="Arial" w:eastAsia="Arial" w:hAnsi="Arial" w:cs="Arial"/>
                <w:sz w:val="16"/>
                <w:szCs w:val="16"/>
              </w:rPr>
              <w:t>Unidade de Fornecimento: Unidade (1 peça).</w:t>
            </w:r>
          </w:p>
        </w:tc>
        <w:tc>
          <w:tcPr>
            <w:tcW w:w="992" w:type="dxa"/>
            <w:tcBorders>
              <w:top w:val="single" w:sz="4" w:space="0" w:color="auto"/>
              <w:left w:val="single" w:sz="4" w:space="0" w:color="auto"/>
              <w:bottom w:val="single" w:sz="4" w:space="0" w:color="auto"/>
              <w:right w:val="single" w:sz="4" w:space="0" w:color="auto"/>
            </w:tcBorders>
            <w:vAlign w:val="center"/>
          </w:tcPr>
          <w:p w14:paraId="697359EB" w14:textId="3CC87058" w:rsidR="00BD2E71" w:rsidRPr="00BD2E71" w:rsidRDefault="006220B6" w:rsidP="00BD2E71">
            <w:pPr>
              <w:spacing w:after="0" w:line="240" w:lineRule="auto"/>
              <w:jc w:val="center"/>
              <w:rPr>
                <w:rFonts w:ascii="Arial" w:eastAsia="Arial" w:hAnsi="Arial" w:cs="Arial"/>
                <w:sz w:val="16"/>
                <w:szCs w:val="16"/>
              </w:rPr>
            </w:pPr>
            <w:r w:rsidRPr="006220B6">
              <w:rPr>
                <w:rFonts w:ascii="Arial" w:eastAsia="Arial" w:hAnsi="Arial" w:cs="Arial"/>
                <w:sz w:val="16"/>
                <w:szCs w:val="16"/>
              </w:rPr>
              <w:t>627636</w:t>
            </w:r>
          </w:p>
        </w:tc>
        <w:tc>
          <w:tcPr>
            <w:tcW w:w="851" w:type="dxa"/>
            <w:tcBorders>
              <w:top w:val="single" w:sz="4" w:space="0" w:color="auto"/>
              <w:left w:val="single" w:sz="4" w:space="0" w:color="auto"/>
              <w:bottom w:val="single" w:sz="4" w:space="0" w:color="auto"/>
              <w:right w:val="single" w:sz="4" w:space="0" w:color="auto"/>
            </w:tcBorders>
            <w:vAlign w:val="center"/>
          </w:tcPr>
          <w:p w14:paraId="094D6FF4" w14:textId="17196537" w:rsidR="00BD2E71" w:rsidRDefault="006220B6" w:rsidP="00BD2E71">
            <w:pPr>
              <w:spacing w:after="0" w:line="240" w:lineRule="auto"/>
              <w:jc w:val="center"/>
              <w:rPr>
                <w:rFonts w:ascii="Arial" w:eastAsia="Arial" w:hAnsi="Arial" w:cs="Arial"/>
                <w:sz w:val="16"/>
                <w:szCs w:val="16"/>
              </w:rPr>
            </w:pPr>
            <w:r>
              <w:rPr>
                <w:rFonts w:ascii="Arial" w:eastAsia="Arial" w:hAnsi="Arial" w:cs="Arial"/>
                <w:sz w:val="16"/>
                <w:szCs w:val="16"/>
              </w:rPr>
              <w:t>UND</w:t>
            </w:r>
          </w:p>
        </w:tc>
        <w:tc>
          <w:tcPr>
            <w:tcW w:w="709" w:type="dxa"/>
            <w:tcBorders>
              <w:top w:val="single" w:sz="4" w:space="0" w:color="auto"/>
              <w:left w:val="single" w:sz="4" w:space="0" w:color="auto"/>
              <w:bottom w:val="single" w:sz="4" w:space="0" w:color="auto"/>
              <w:right w:val="single" w:sz="4" w:space="0" w:color="auto"/>
            </w:tcBorders>
            <w:vAlign w:val="center"/>
          </w:tcPr>
          <w:p w14:paraId="7ACCA679" w14:textId="59400B1E" w:rsidR="00BD2E71" w:rsidRDefault="006220B6" w:rsidP="00BD2E71">
            <w:pPr>
              <w:spacing w:after="0" w:line="240" w:lineRule="auto"/>
              <w:jc w:val="center"/>
              <w:rPr>
                <w:rFonts w:ascii="Arial" w:eastAsia="Arial" w:hAnsi="Arial" w:cs="Arial"/>
                <w:sz w:val="16"/>
                <w:szCs w:val="16"/>
              </w:rPr>
            </w:pPr>
            <w:r w:rsidRPr="006220B6">
              <w:rPr>
                <w:rFonts w:ascii="Arial" w:eastAsia="Arial" w:hAnsi="Arial" w:cs="Arial"/>
                <w:sz w:val="16"/>
                <w:szCs w:val="16"/>
              </w:rPr>
              <w:t>25</w:t>
            </w:r>
          </w:p>
        </w:tc>
        <w:tc>
          <w:tcPr>
            <w:tcW w:w="1281" w:type="dxa"/>
            <w:tcBorders>
              <w:top w:val="single" w:sz="4" w:space="0" w:color="auto"/>
              <w:left w:val="single" w:sz="4" w:space="0" w:color="auto"/>
              <w:bottom w:val="single" w:sz="4" w:space="0" w:color="auto"/>
              <w:right w:val="single" w:sz="4" w:space="0" w:color="auto"/>
            </w:tcBorders>
            <w:vAlign w:val="center"/>
          </w:tcPr>
          <w:p w14:paraId="181B7110" w14:textId="0AD03D89" w:rsidR="00BD2E71" w:rsidRPr="00BD2E71" w:rsidRDefault="006220B6" w:rsidP="00BD2E71">
            <w:pPr>
              <w:spacing w:after="0" w:line="240" w:lineRule="auto"/>
              <w:jc w:val="center"/>
              <w:rPr>
                <w:rFonts w:ascii="Arial" w:eastAsia="Arial" w:hAnsi="Arial" w:cs="Arial"/>
                <w:sz w:val="16"/>
                <w:szCs w:val="16"/>
              </w:rPr>
            </w:pPr>
            <w:r w:rsidRPr="006220B6">
              <w:rPr>
                <w:rFonts w:ascii="Arial" w:eastAsia="Arial" w:hAnsi="Arial" w:cs="Arial"/>
                <w:sz w:val="16"/>
                <w:szCs w:val="16"/>
              </w:rPr>
              <w:t>R$ 86</w:t>
            </w:r>
            <w:r>
              <w:rPr>
                <w:rFonts w:ascii="Arial" w:eastAsia="Arial" w:hAnsi="Arial" w:cs="Arial"/>
                <w:sz w:val="16"/>
                <w:szCs w:val="16"/>
              </w:rPr>
              <w:t>,</w:t>
            </w:r>
            <w:r w:rsidRPr="006220B6">
              <w:rPr>
                <w:rFonts w:ascii="Arial" w:eastAsia="Arial" w:hAnsi="Arial" w:cs="Arial"/>
                <w:sz w:val="16"/>
                <w:szCs w:val="16"/>
              </w:rPr>
              <w:t>00</w:t>
            </w:r>
          </w:p>
        </w:tc>
        <w:tc>
          <w:tcPr>
            <w:tcW w:w="1417" w:type="dxa"/>
            <w:tcBorders>
              <w:top w:val="single" w:sz="4" w:space="0" w:color="auto"/>
              <w:left w:val="single" w:sz="4" w:space="0" w:color="auto"/>
              <w:bottom w:val="single" w:sz="4" w:space="0" w:color="auto"/>
              <w:right w:val="single" w:sz="4" w:space="0" w:color="auto"/>
            </w:tcBorders>
            <w:vAlign w:val="center"/>
          </w:tcPr>
          <w:p w14:paraId="6FCD2516" w14:textId="5B2B2000" w:rsidR="00BD2E71" w:rsidRPr="00BD2E71" w:rsidRDefault="006220B6" w:rsidP="00BD2E71">
            <w:pPr>
              <w:spacing w:after="0" w:line="240" w:lineRule="auto"/>
              <w:jc w:val="center"/>
              <w:rPr>
                <w:rFonts w:ascii="Arial" w:eastAsia="Arial" w:hAnsi="Arial" w:cs="Arial"/>
                <w:sz w:val="16"/>
                <w:szCs w:val="16"/>
              </w:rPr>
            </w:pPr>
            <w:r>
              <w:rPr>
                <w:rFonts w:ascii="Arial" w:eastAsia="Arial" w:hAnsi="Arial" w:cs="Arial"/>
                <w:sz w:val="16"/>
                <w:szCs w:val="16"/>
              </w:rPr>
              <w:t>R$ 2.150,00</w:t>
            </w:r>
          </w:p>
        </w:tc>
        <w:tc>
          <w:tcPr>
            <w:tcW w:w="1985" w:type="dxa"/>
            <w:tcBorders>
              <w:top w:val="single" w:sz="4" w:space="0" w:color="auto"/>
              <w:left w:val="single" w:sz="4" w:space="0" w:color="auto"/>
              <w:bottom w:val="single" w:sz="4" w:space="0" w:color="auto"/>
              <w:right w:val="single" w:sz="4" w:space="0" w:color="auto"/>
            </w:tcBorders>
            <w:vAlign w:val="center"/>
          </w:tcPr>
          <w:p w14:paraId="2C14B8A0" w14:textId="77777777" w:rsidR="00BD2E71" w:rsidRDefault="00BD2E71">
            <w:pPr>
              <w:spacing w:after="0" w:line="240" w:lineRule="auto"/>
              <w:rPr>
                <w:rFonts w:ascii="Arial" w:eastAsia="Arial" w:hAnsi="Arial" w:cs="Arial"/>
                <w:noProof/>
                <w:sz w:val="16"/>
                <w:szCs w:val="16"/>
              </w:rPr>
            </w:pPr>
          </w:p>
        </w:tc>
      </w:tr>
      <w:tr w:rsidR="00A7501E" w14:paraId="34A36224" w14:textId="77777777" w:rsidTr="00CB1D12">
        <w:trPr>
          <w:trHeight w:val="330"/>
        </w:trPr>
        <w:tc>
          <w:tcPr>
            <w:tcW w:w="704" w:type="dxa"/>
            <w:tcBorders>
              <w:top w:val="single" w:sz="4" w:space="0" w:color="auto"/>
              <w:left w:val="single" w:sz="4" w:space="0" w:color="auto"/>
              <w:bottom w:val="single" w:sz="4" w:space="0" w:color="auto"/>
              <w:right w:val="single" w:sz="4" w:space="0" w:color="auto"/>
            </w:tcBorders>
            <w:vAlign w:val="center"/>
          </w:tcPr>
          <w:p w14:paraId="0EFA414C" w14:textId="77777777" w:rsidR="00A7501E" w:rsidRDefault="00A7501E" w:rsidP="00A7501E">
            <w:pPr>
              <w:spacing w:after="0" w:line="240" w:lineRule="auto"/>
              <w:jc w:val="center"/>
              <w:rPr>
                <w:rFonts w:ascii="Arial" w:eastAsia="Arial" w:hAnsi="Arial" w:cs="Arial"/>
                <w:sz w:val="16"/>
                <w:szCs w:val="16"/>
              </w:rPr>
            </w:pPr>
          </w:p>
        </w:tc>
        <w:tc>
          <w:tcPr>
            <w:tcW w:w="8799" w:type="dxa"/>
            <w:gridSpan w:val="6"/>
            <w:tcBorders>
              <w:top w:val="single" w:sz="4" w:space="0" w:color="auto"/>
              <w:left w:val="single" w:sz="4" w:space="0" w:color="auto"/>
              <w:bottom w:val="single" w:sz="4" w:space="0" w:color="auto"/>
              <w:right w:val="single" w:sz="4" w:space="0" w:color="auto"/>
            </w:tcBorders>
            <w:vAlign w:val="center"/>
          </w:tcPr>
          <w:p w14:paraId="52A83D4E" w14:textId="77618FBF" w:rsidR="00A7501E" w:rsidRDefault="00A7501E" w:rsidP="00A7501E">
            <w:pPr>
              <w:spacing w:after="0" w:line="240" w:lineRule="auto"/>
              <w:jc w:val="right"/>
              <w:rPr>
                <w:rFonts w:ascii="Arial" w:eastAsia="Arial" w:hAnsi="Arial" w:cs="Arial"/>
                <w:sz w:val="16"/>
                <w:szCs w:val="16"/>
              </w:rPr>
            </w:pPr>
            <w:r w:rsidRPr="006220B6">
              <w:rPr>
                <w:rFonts w:ascii="Arial" w:eastAsia="Arial" w:hAnsi="Arial" w:cs="Arial"/>
                <w:b/>
                <w:bCs/>
                <w:sz w:val="16"/>
                <w:szCs w:val="16"/>
              </w:rPr>
              <w:t>VALOR TOTAL</w:t>
            </w:r>
          </w:p>
        </w:tc>
        <w:tc>
          <w:tcPr>
            <w:tcW w:w="1985" w:type="dxa"/>
            <w:tcBorders>
              <w:top w:val="single" w:sz="4" w:space="0" w:color="auto"/>
              <w:left w:val="single" w:sz="4" w:space="0" w:color="auto"/>
              <w:bottom w:val="single" w:sz="4" w:space="0" w:color="auto"/>
              <w:right w:val="single" w:sz="4" w:space="0" w:color="auto"/>
            </w:tcBorders>
            <w:vAlign w:val="center"/>
          </w:tcPr>
          <w:p w14:paraId="1B44ACBC" w14:textId="74D48F24" w:rsidR="00A7501E" w:rsidRDefault="00A7501E" w:rsidP="00A7501E">
            <w:pPr>
              <w:spacing w:after="0" w:line="240" w:lineRule="auto"/>
              <w:jc w:val="center"/>
              <w:rPr>
                <w:rFonts w:ascii="Arial" w:eastAsia="Arial" w:hAnsi="Arial" w:cs="Arial"/>
                <w:noProof/>
                <w:sz w:val="16"/>
                <w:szCs w:val="16"/>
              </w:rPr>
            </w:pPr>
            <w:r w:rsidRPr="006220B6">
              <w:rPr>
                <w:rFonts w:ascii="Arial" w:eastAsia="Arial" w:hAnsi="Arial" w:cs="Arial"/>
                <w:b/>
                <w:bCs/>
                <w:noProof/>
                <w:sz w:val="16"/>
                <w:szCs w:val="16"/>
              </w:rPr>
              <w:t>R$ 57.291.6167</w:t>
            </w:r>
          </w:p>
        </w:tc>
      </w:tr>
    </w:tbl>
    <w:p w14:paraId="27B71498" w14:textId="77777777" w:rsidR="00276BB0" w:rsidRDefault="00000000">
      <w:pPr>
        <w:rPr>
          <w:rFonts w:ascii="Arial" w:eastAsia="Arial" w:hAnsi="Arial" w:cs="Arial"/>
          <w:color w:val="000000"/>
          <w:sz w:val="20"/>
          <w:szCs w:val="20"/>
        </w:rPr>
      </w:pPr>
      <w:r>
        <w:rPr>
          <w:rFonts w:ascii="Arial" w:eastAsia="Arial" w:hAnsi="Arial" w:cs="Arial"/>
          <w:color w:val="000000"/>
          <w:sz w:val="20"/>
          <w:szCs w:val="20"/>
        </w:rPr>
        <w:br/>
      </w:r>
    </w:p>
    <w:p w14:paraId="359DC570" w14:textId="77777777" w:rsidR="00276BB0" w:rsidRDefault="00000000">
      <w:pPr>
        <w:widowControl/>
        <w:numPr>
          <w:ilvl w:val="1"/>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Os bens objeto desta contratação são caracterizados como comuns, conforme justificativa constante do Estudo Técnico Preliminar.</w:t>
      </w:r>
    </w:p>
    <w:p w14:paraId="00AC38B3" w14:textId="77777777" w:rsidR="00276BB0" w:rsidRDefault="00000000">
      <w:pPr>
        <w:widowControl/>
        <w:numPr>
          <w:ilvl w:val="1"/>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O objeto desta contratação não se enquadra como sendo de bem de luxo, conforme Decreto nº 10.818, de 27 de setembro de 2021.</w:t>
      </w:r>
    </w:p>
    <w:p w14:paraId="6A07EACA" w14:textId="77777777" w:rsidR="00276BB0" w:rsidRDefault="00000000">
      <w:pPr>
        <w:widowControl/>
        <w:numPr>
          <w:ilvl w:val="1"/>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O prazo de vigência da eventual contratação é de 12 (doze) meses, contados do(a) assinatura do contrato, na forma do artigo 105 da Lei n° 14.133, de 2021.</w:t>
      </w:r>
    </w:p>
    <w:p w14:paraId="4CC73754" w14:textId="77777777" w:rsidR="00276BB0" w:rsidRDefault="00000000">
      <w:pPr>
        <w:widowControl/>
        <w:numPr>
          <w:ilvl w:val="1"/>
          <w:numId w:val="1"/>
        </w:numPr>
        <w:pBdr>
          <w:top w:val="nil"/>
          <w:left w:val="nil"/>
          <w:bottom w:val="nil"/>
          <w:right w:val="nil"/>
          <w:between w:val="nil"/>
        </w:pBdr>
        <w:spacing w:before="120" w:after="120" w:line="276" w:lineRule="auto"/>
        <w:jc w:val="both"/>
        <w:rPr>
          <w:rFonts w:ascii="Arial" w:eastAsia="Arial" w:hAnsi="Arial" w:cs="Arial"/>
          <w:color w:val="000000"/>
          <w:sz w:val="20"/>
          <w:szCs w:val="20"/>
        </w:rPr>
      </w:pPr>
      <w:r>
        <w:rPr>
          <w:rFonts w:ascii="Arial" w:eastAsia="Arial" w:hAnsi="Arial" w:cs="Arial"/>
          <w:color w:val="000000"/>
          <w:sz w:val="20"/>
          <w:szCs w:val="20"/>
        </w:rPr>
        <w:t>O contrato oferece maior detalhamento das regras que serão aplicadas em relação à vigência da contratação.</w:t>
      </w:r>
    </w:p>
    <w:p w14:paraId="11A25EB2" w14:textId="77777777" w:rsidR="00276BB0" w:rsidRDefault="00000000">
      <w:pPr>
        <w:numPr>
          <w:ilvl w:val="0"/>
          <w:numId w:val="2"/>
        </w:numPr>
        <w:shd w:val="clear" w:color="auto" w:fill="BFBFBF"/>
        <w:tabs>
          <w:tab w:val="left" w:pos="720"/>
        </w:tabs>
        <w:spacing w:before="283" w:after="283" w:line="240" w:lineRule="auto"/>
        <w:jc w:val="both"/>
        <w:rPr>
          <w:rFonts w:ascii="Arial" w:eastAsia="Arial" w:hAnsi="Arial" w:cs="Arial"/>
          <w:b/>
          <w:bCs/>
          <w:color w:val="000000"/>
          <w:sz w:val="20"/>
          <w:szCs w:val="20"/>
          <w:u w:val="single"/>
        </w:rPr>
      </w:pPr>
      <w:r>
        <w:rPr>
          <w:rFonts w:ascii="Arial" w:eastAsia="Arial" w:hAnsi="Arial" w:cs="Arial"/>
          <w:b/>
          <w:bCs/>
          <w:smallCaps/>
          <w:color w:val="000000"/>
          <w:sz w:val="20"/>
          <w:szCs w:val="20"/>
        </w:rPr>
        <w:t>FUNDAMENTAÇÃO E DESCRIÇÃO DA NECESSIDADE DA CONTRATAÇÃO</w:t>
      </w:r>
    </w:p>
    <w:p w14:paraId="1D178997" w14:textId="77777777" w:rsidR="00276BB0" w:rsidRDefault="00000000">
      <w:pPr>
        <w:numPr>
          <w:ilvl w:val="1"/>
          <w:numId w:val="2"/>
        </w:numPr>
        <w:pBdr>
          <w:top w:val="nil"/>
          <w:left w:val="nil"/>
          <w:bottom w:val="nil"/>
          <w:right w:val="nil"/>
          <w:between w:val="nil"/>
        </w:pBdr>
        <w:spacing w:before="40" w:after="0"/>
        <w:ind w:left="851"/>
        <w:jc w:val="both"/>
        <w:rPr>
          <w:rFonts w:ascii="Arial" w:eastAsia="Arial" w:hAnsi="Arial" w:cs="Arial"/>
          <w:color w:val="000000"/>
          <w:sz w:val="20"/>
          <w:szCs w:val="20"/>
        </w:rPr>
      </w:pPr>
      <w:r>
        <w:rPr>
          <w:rFonts w:ascii="Arial" w:eastAsia="Arial" w:hAnsi="Arial" w:cs="Arial"/>
          <w:color w:val="000000"/>
          <w:sz w:val="20"/>
          <w:szCs w:val="20"/>
        </w:rPr>
        <w:t>A Fundamentação da Contratação e de seus quantitativos encontra-se pormenorizada em Tópico específico dos Estudos Técnicos Preliminares, apêndice deste Termo de Referência.</w:t>
      </w:r>
    </w:p>
    <w:p w14:paraId="2B061ECD" w14:textId="77777777" w:rsidR="00276BB0" w:rsidRDefault="00000000">
      <w:pPr>
        <w:numPr>
          <w:ilvl w:val="1"/>
          <w:numId w:val="2"/>
        </w:numPr>
        <w:pBdr>
          <w:top w:val="nil"/>
          <w:left w:val="nil"/>
          <w:bottom w:val="nil"/>
          <w:right w:val="nil"/>
          <w:between w:val="nil"/>
        </w:pBdr>
        <w:spacing w:after="0"/>
        <w:ind w:left="851"/>
        <w:jc w:val="both"/>
        <w:rPr>
          <w:rFonts w:ascii="Arial" w:eastAsia="Arial" w:hAnsi="Arial" w:cs="Arial"/>
          <w:color w:val="000000"/>
          <w:sz w:val="20"/>
          <w:szCs w:val="20"/>
        </w:rPr>
      </w:pPr>
      <w:r>
        <w:rPr>
          <w:rFonts w:ascii="Arial" w:eastAsia="Arial" w:hAnsi="Arial" w:cs="Arial"/>
          <w:color w:val="000000"/>
          <w:sz w:val="20"/>
          <w:szCs w:val="20"/>
        </w:rPr>
        <w:t>O objeto da contratação está previsto no Plano de Contratações Anual, conforme consta das informações básicas desse termo de referência.</w:t>
      </w:r>
    </w:p>
    <w:p w14:paraId="24D87A1D" w14:textId="77777777" w:rsidR="00276BB0" w:rsidRDefault="00276BB0">
      <w:pPr>
        <w:pBdr>
          <w:top w:val="nil"/>
          <w:left w:val="nil"/>
          <w:bottom w:val="nil"/>
          <w:right w:val="nil"/>
          <w:between w:val="nil"/>
        </w:pBdr>
        <w:ind w:left="851"/>
        <w:jc w:val="both"/>
        <w:rPr>
          <w:rFonts w:ascii="Arial" w:eastAsia="Arial" w:hAnsi="Arial" w:cs="Arial"/>
          <w:b/>
          <w:bCs/>
          <w:color w:val="000000"/>
          <w:sz w:val="20"/>
          <w:szCs w:val="20"/>
          <w:u w:val="single"/>
        </w:rPr>
      </w:pPr>
    </w:p>
    <w:p w14:paraId="1FD163A2" w14:textId="77777777" w:rsidR="00276BB0" w:rsidRDefault="00000000">
      <w:pPr>
        <w:numPr>
          <w:ilvl w:val="0"/>
          <w:numId w:val="2"/>
        </w:numPr>
        <w:shd w:val="clear" w:color="auto" w:fill="BFBFBF"/>
        <w:tabs>
          <w:tab w:val="left" w:pos="720"/>
        </w:tabs>
        <w:spacing w:before="119" w:line="240" w:lineRule="auto"/>
        <w:ind w:left="363" w:right="-28" w:hanging="363"/>
        <w:jc w:val="both"/>
        <w:rPr>
          <w:rFonts w:ascii="Arial" w:eastAsia="Arial" w:hAnsi="Arial" w:cs="Arial"/>
          <w:b/>
          <w:bCs/>
          <w:color w:val="000000"/>
          <w:sz w:val="20"/>
          <w:szCs w:val="20"/>
        </w:rPr>
      </w:pPr>
      <w:r>
        <w:rPr>
          <w:rFonts w:ascii="Arial" w:eastAsia="Arial" w:hAnsi="Arial" w:cs="Arial"/>
          <w:b/>
          <w:bCs/>
          <w:color w:val="000000"/>
          <w:sz w:val="20"/>
          <w:szCs w:val="20"/>
        </w:rPr>
        <w:t>DESCRIÇÃO DA SOLUÇÃO COMO UM TODO CONSIDERADO O CICLO DE VIDA DO OBJETO E ESPECIFICAÇÃO DO PRODUTO</w:t>
      </w:r>
    </w:p>
    <w:p w14:paraId="3EE80110" w14:textId="77777777" w:rsidR="00276BB0" w:rsidRDefault="00000000">
      <w:pPr>
        <w:keepNext/>
        <w:keepLines/>
        <w:widowControl/>
        <w:numPr>
          <w:ilvl w:val="1"/>
          <w:numId w:val="2"/>
        </w:numPr>
        <w:pBdr>
          <w:top w:val="nil"/>
          <w:left w:val="nil"/>
          <w:bottom w:val="nil"/>
          <w:right w:val="nil"/>
          <w:between w:val="nil"/>
        </w:pBdr>
        <w:spacing w:before="480" w:after="120" w:line="276" w:lineRule="auto"/>
        <w:ind w:left="851"/>
        <w:jc w:val="both"/>
        <w:rPr>
          <w:rFonts w:ascii="Arial" w:eastAsia="Arial" w:hAnsi="Arial" w:cs="Arial"/>
          <w:color w:val="000000"/>
          <w:sz w:val="20"/>
          <w:szCs w:val="20"/>
        </w:rPr>
      </w:pPr>
      <w:r>
        <w:rPr>
          <w:rFonts w:ascii="Arial" w:eastAsia="Arial" w:hAnsi="Arial" w:cs="Arial"/>
          <w:color w:val="000000"/>
          <w:sz w:val="20"/>
          <w:szCs w:val="20"/>
        </w:rPr>
        <w:t>A descrição da solução como um todo encontra-se pormenorizada em tópico específico dos Estudos Técnicos Preliminares, apêndice deste Termo de Referência.</w:t>
      </w:r>
    </w:p>
    <w:p w14:paraId="657D9A07" w14:textId="77777777" w:rsidR="00276BB0" w:rsidRDefault="00000000">
      <w:pPr>
        <w:numPr>
          <w:ilvl w:val="0"/>
          <w:numId w:val="2"/>
        </w:numPr>
        <w:shd w:val="clear" w:color="auto" w:fill="BFBFBF"/>
        <w:tabs>
          <w:tab w:val="left" w:pos="720"/>
        </w:tabs>
        <w:spacing w:before="119" w:line="240" w:lineRule="auto"/>
        <w:ind w:left="363" w:right="-28" w:hanging="363"/>
        <w:jc w:val="both"/>
        <w:rPr>
          <w:rFonts w:ascii="Arial" w:eastAsia="Arial" w:hAnsi="Arial" w:cs="Arial"/>
          <w:b/>
          <w:bCs/>
          <w:color w:val="000000"/>
          <w:sz w:val="20"/>
          <w:szCs w:val="20"/>
        </w:rPr>
      </w:pPr>
      <w:r>
        <w:rPr>
          <w:rFonts w:ascii="Arial" w:eastAsia="Arial" w:hAnsi="Arial" w:cs="Arial"/>
          <w:b/>
          <w:bCs/>
          <w:color w:val="000000"/>
          <w:sz w:val="20"/>
          <w:szCs w:val="20"/>
        </w:rPr>
        <w:t>REQUISITOS DA CONTRATAÇÃO</w:t>
      </w:r>
    </w:p>
    <w:p w14:paraId="1E8AE8DE" w14:textId="77777777" w:rsidR="00276BB0" w:rsidRDefault="00000000">
      <w:pPr>
        <w:jc w:val="both"/>
        <w:rPr>
          <w:rFonts w:ascii="Arial" w:eastAsia="Arial" w:hAnsi="Arial" w:cs="Arial"/>
          <w:color w:val="000000"/>
          <w:sz w:val="20"/>
          <w:szCs w:val="20"/>
        </w:rPr>
      </w:pPr>
      <w:r>
        <w:rPr>
          <w:rFonts w:ascii="Arial" w:eastAsia="Arial" w:hAnsi="Arial" w:cs="Arial"/>
          <w:b/>
          <w:bCs/>
          <w:color w:val="000000"/>
          <w:sz w:val="20"/>
          <w:szCs w:val="20"/>
        </w:rPr>
        <w:t>Sustentabilidade</w:t>
      </w:r>
    </w:p>
    <w:p w14:paraId="52145CD2" w14:textId="77777777" w:rsidR="00276BB0" w:rsidRDefault="00000000">
      <w:pPr>
        <w:numPr>
          <w:ilvl w:val="1"/>
          <w:numId w:val="2"/>
        </w:numPr>
        <w:pBdr>
          <w:top w:val="nil"/>
          <w:left w:val="nil"/>
          <w:bottom w:val="nil"/>
          <w:right w:val="nil"/>
          <w:between w:val="nil"/>
        </w:pBdr>
        <w:ind w:left="851"/>
        <w:jc w:val="both"/>
        <w:rPr>
          <w:rFonts w:ascii="Arial" w:eastAsia="Arial" w:hAnsi="Arial" w:cs="Arial"/>
          <w:color w:val="000000"/>
          <w:sz w:val="20"/>
          <w:szCs w:val="20"/>
        </w:rPr>
      </w:pPr>
      <w:r>
        <w:rPr>
          <w:rFonts w:ascii="Arial" w:eastAsia="Arial" w:hAnsi="Arial" w:cs="Arial"/>
          <w:color w:val="000000"/>
          <w:sz w:val="20"/>
          <w:szCs w:val="20"/>
        </w:rPr>
        <w:t xml:space="preserve">Além dos critérios de sustentabilidade eventualmente inseridos na descrição do objeto, devem ser </w:t>
      </w:r>
      <w:r>
        <w:rPr>
          <w:rFonts w:ascii="Arial" w:eastAsia="Arial" w:hAnsi="Arial" w:cs="Arial"/>
          <w:color w:val="000000"/>
          <w:sz w:val="20"/>
          <w:szCs w:val="20"/>
        </w:rPr>
        <w:lastRenderedPageBreak/>
        <w:t>atendidos os requisitos que se baseiam no Guia Nacional de Contratações Sustentáveis.</w:t>
      </w:r>
    </w:p>
    <w:p w14:paraId="7239CBC3" w14:textId="77777777" w:rsidR="00276BB0" w:rsidRDefault="00000000">
      <w:pPr>
        <w:keepNext/>
        <w:keepLines/>
        <w:widowControl/>
        <w:pBdr>
          <w:top w:val="nil"/>
          <w:left w:val="nil"/>
          <w:bottom w:val="nil"/>
          <w:right w:val="nil"/>
          <w:between w:val="nil"/>
        </w:pBdr>
        <w:tabs>
          <w:tab w:val="left" w:pos="567"/>
        </w:tabs>
        <w:spacing w:before="240" w:after="12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Subcontratação</w:t>
      </w:r>
    </w:p>
    <w:p w14:paraId="2E4AF220" w14:textId="77777777" w:rsidR="00276BB0" w:rsidRDefault="00000000">
      <w:pPr>
        <w:widowControl/>
        <w:numPr>
          <w:ilvl w:val="1"/>
          <w:numId w:val="2"/>
        </w:numPr>
        <w:pBdr>
          <w:top w:val="nil"/>
          <w:left w:val="nil"/>
          <w:bottom w:val="nil"/>
          <w:right w:val="nil"/>
          <w:between w:val="nil"/>
        </w:pBdr>
        <w:spacing w:before="120" w:after="120" w:line="276" w:lineRule="auto"/>
        <w:ind w:left="851"/>
        <w:jc w:val="both"/>
        <w:rPr>
          <w:rFonts w:ascii="Arial" w:eastAsia="Arial" w:hAnsi="Arial" w:cs="Arial"/>
          <w:color w:val="000000"/>
          <w:sz w:val="20"/>
          <w:szCs w:val="20"/>
        </w:rPr>
      </w:pPr>
      <w:r>
        <w:rPr>
          <w:rFonts w:ascii="Arial" w:eastAsia="Arial" w:hAnsi="Arial" w:cs="Arial"/>
          <w:color w:val="000000"/>
          <w:sz w:val="20"/>
          <w:szCs w:val="20"/>
        </w:rPr>
        <w:t>Não é admitida a subcontratação do objeto contratual.</w:t>
      </w:r>
    </w:p>
    <w:p w14:paraId="0C3779E3" w14:textId="77777777" w:rsidR="00276BB0" w:rsidRDefault="00000000">
      <w:pPr>
        <w:keepNext/>
        <w:keepLines/>
        <w:widowControl/>
        <w:pBdr>
          <w:top w:val="nil"/>
          <w:left w:val="nil"/>
          <w:bottom w:val="nil"/>
          <w:right w:val="nil"/>
          <w:between w:val="nil"/>
        </w:pBdr>
        <w:tabs>
          <w:tab w:val="left" w:pos="567"/>
        </w:tabs>
        <w:spacing w:before="240" w:after="12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Garantia da contratação</w:t>
      </w:r>
    </w:p>
    <w:p w14:paraId="474BBF26" w14:textId="77777777" w:rsidR="00276BB0" w:rsidRDefault="00000000">
      <w:pPr>
        <w:widowControl/>
        <w:numPr>
          <w:ilvl w:val="1"/>
          <w:numId w:val="2"/>
        </w:numPr>
        <w:pBdr>
          <w:top w:val="nil"/>
          <w:left w:val="nil"/>
          <w:bottom w:val="nil"/>
          <w:right w:val="nil"/>
          <w:between w:val="nil"/>
        </w:pBdr>
        <w:spacing w:before="120" w:after="120" w:line="276" w:lineRule="auto"/>
        <w:ind w:left="851"/>
        <w:jc w:val="both"/>
        <w:rPr>
          <w:rFonts w:ascii="Arial" w:eastAsia="Arial" w:hAnsi="Arial" w:cs="Arial"/>
          <w:color w:val="000000"/>
          <w:sz w:val="20"/>
          <w:szCs w:val="20"/>
        </w:rPr>
      </w:pPr>
      <w:r>
        <w:rPr>
          <w:rFonts w:ascii="Arial" w:eastAsia="Arial" w:hAnsi="Arial" w:cs="Arial"/>
          <w:color w:val="000000"/>
          <w:sz w:val="20"/>
          <w:szCs w:val="20"/>
        </w:rPr>
        <w:t xml:space="preserve">Não haverá exigência da garantia da contratação dos </w:t>
      </w:r>
      <w:hyperlink r:id="rId15" w:anchor="art96">
        <w:r w:rsidR="00276BB0">
          <w:rPr>
            <w:rFonts w:ascii="Arial" w:eastAsia="Arial" w:hAnsi="Arial" w:cs="Arial"/>
            <w:color w:val="000000"/>
            <w:sz w:val="20"/>
            <w:szCs w:val="20"/>
            <w:u w:val="single"/>
          </w:rPr>
          <w:t>artigos 96 e seguintes da Lei nº 14.133, de 2021</w:t>
        </w:r>
      </w:hyperlink>
      <w:r>
        <w:rPr>
          <w:rFonts w:ascii="Arial" w:eastAsia="Arial" w:hAnsi="Arial" w:cs="Arial"/>
          <w:color w:val="000000"/>
          <w:sz w:val="20"/>
          <w:szCs w:val="20"/>
        </w:rPr>
        <w:t>, pelas razões constantes do Estudo Técnico Preliminar.</w:t>
      </w:r>
    </w:p>
    <w:p w14:paraId="3FF0EBCC" w14:textId="77777777" w:rsidR="00276BB0" w:rsidRDefault="00000000">
      <w:pPr>
        <w:numPr>
          <w:ilvl w:val="0"/>
          <w:numId w:val="2"/>
        </w:numPr>
        <w:shd w:val="clear" w:color="auto" w:fill="BFBFBF"/>
        <w:tabs>
          <w:tab w:val="left" w:pos="720"/>
        </w:tabs>
        <w:spacing w:before="119" w:after="0" w:line="240" w:lineRule="auto"/>
        <w:ind w:left="363" w:right="-28" w:hanging="363"/>
        <w:jc w:val="both"/>
        <w:rPr>
          <w:rFonts w:ascii="Arial" w:eastAsia="Arial" w:hAnsi="Arial" w:cs="Arial"/>
          <w:b/>
          <w:bCs/>
          <w:color w:val="000000"/>
          <w:sz w:val="20"/>
          <w:szCs w:val="20"/>
        </w:rPr>
      </w:pPr>
      <w:r>
        <w:rPr>
          <w:rFonts w:ascii="Arial" w:eastAsia="Arial" w:hAnsi="Arial" w:cs="Arial"/>
          <w:b/>
          <w:bCs/>
          <w:smallCaps/>
          <w:color w:val="000000"/>
          <w:sz w:val="20"/>
          <w:szCs w:val="20"/>
        </w:rPr>
        <w:t>MODELO DE EXECUÇÃO DO OBJETO</w:t>
      </w:r>
    </w:p>
    <w:p w14:paraId="1892C688" w14:textId="77777777" w:rsidR="00276BB0" w:rsidRDefault="00000000">
      <w:pPr>
        <w:numPr>
          <w:ilvl w:val="1"/>
          <w:numId w:val="2"/>
        </w:numPr>
        <w:tabs>
          <w:tab w:val="left" w:pos="993"/>
        </w:tabs>
        <w:spacing w:before="119" w:after="0" w:line="240" w:lineRule="auto"/>
        <w:ind w:left="567" w:right="-30" w:firstLine="0"/>
        <w:jc w:val="both"/>
        <w:rPr>
          <w:rFonts w:ascii="Arial" w:eastAsia="Arial" w:hAnsi="Arial" w:cs="Arial"/>
          <w:color w:val="000000"/>
          <w:sz w:val="20"/>
          <w:szCs w:val="20"/>
        </w:rPr>
      </w:pPr>
      <w:r>
        <w:rPr>
          <w:rFonts w:ascii="Arial" w:eastAsia="Arial" w:hAnsi="Arial" w:cs="Arial"/>
          <w:color w:val="000000"/>
          <w:sz w:val="20"/>
          <w:szCs w:val="20"/>
        </w:rPr>
        <w:t xml:space="preserve">O prazo de entrega dos bens é de 15 (quinze) dias, contados a partir do recebimento da Nota de Empenho ou Ordem de Fornecimento. </w:t>
      </w:r>
    </w:p>
    <w:p w14:paraId="51D70594"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Os bens deverão ser entregues no seguinte endereço: Autarquia Educacional do Belo Jardim - AEB, situado na Rodovia PE 166, KM 05 – Sítio Inhumas, Belo Jardim - PE, em dias com expediente, de segunda-feira a sexta-feira, das 07:30 horas às 17:30 horas.</w:t>
      </w:r>
    </w:p>
    <w:p w14:paraId="40FDE51E" w14:textId="77777777" w:rsidR="00276BB0" w:rsidRDefault="00000000">
      <w:pPr>
        <w:numPr>
          <w:ilvl w:val="1"/>
          <w:numId w:val="2"/>
        </w:numPr>
        <w:tabs>
          <w:tab w:val="left" w:pos="993"/>
        </w:tabs>
        <w:spacing w:before="119" w:after="0" w:line="240" w:lineRule="auto"/>
        <w:ind w:left="993" w:right="-30"/>
        <w:jc w:val="both"/>
        <w:rPr>
          <w:rFonts w:ascii="Arial" w:eastAsia="Arial" w:hAnsi="Arial" w:cs="Arial"/>
          <w:color w:val="000000"/>
          <w:sz w:val="18"/>
          <w:szCs w:val="18"/>
        </w:rPr>
      </w:pPr>
      <w:r>
        <w:rPr>
          <w:rFonts w:ascii="Arial" w:eastAsia="Arial" w:hAnsi="Arial" w:cs="Arial"/>
          <w:color w:val="000000"/>
          <w:sz w:val="20"/>
          <w:szCs w:val="20"/>
        </w:rPr>
        <w:t>No caso de produtos perecíveis, o prazo de validade na data da entrega não poderá ser inferior a metade do prazo total recomendado pelo fabricante.</w:t>
      </w:r>
    </w:p>
    <w:p w14:paraId="674B8E62" w14:textId="77777777" w:rsidR="00276BB0" w:rsidRDefault="00000000">
      <w:pPr>
        <w:keepNext/>
        <w:keepLines/>
        <w:widowControl/>
        <w:pBdr>
          <w:top w:val="nil"/>
          <w:left w:val="nil"/>
          <w:bottom w:val="nil"/>
          <w:right w:val="nil"/>
          <w:between w:val="nil"/>
        </w:pBdr>
        <w:tabs>
          <w:tab w:val="left" w:pos="567"/>
        </w:tabs>
        <w:spacing w:before="240" w:after="12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Garantia, manutenção e assistência técnica</w:t>
      </w:r>
    </w:p>
    <w:p w14:paraId="58A22150"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O prazo de garantia é aquele estabelecido na Lei nº 8.078, de 11 de setembro de 1990 (Código de Defesa do Consumidor).</w:t>
      </w:r>
    </w:p>
    <w:p w14:paraId="5EE4E07D" w14:textId="77777777" w:rsidR="00276BB0" w:rsidRDefault="00000000">
      <w:pPr>
        <w:numPr>
          <w:ilvl w:val="0"/>
          <w:numId w:val="2"/>
        </w:numPr>
        <w:shd w:val="clear" w:color="auto" w:fill="BFBFBF"/>
        <w:tabs>
          <w:tab w:val="left" w:pos="720"/>
        </w:tabs>
        <w:spacing w:before="283" w:after="283" w:line="240" w:lineRule="auto"/>
        <w:ind w:right="-30"/>
        <w:jc w:val="both"/>
        <w:rPr>
          <w:rFonts w:ascii="Arial" w:eastAsia="Arial" w:hAnsi="Arial" w:cs="Arial"/>
          <w:b/>
          <w:bCs/>
          <w:color w:val="000000"/>
          <w:sz w:val="18"/>
          <w:szCs w:val="18"/>
        </w:rPr>
      </w:pPr>
      <w:r>
        <w:rPr>
          <w:rFonts w:ascii="Arial" w:eastAsia="Arial" w:hAnsi="Arial" w:cs="Arial"/>
          <w:b/>
          <w:bCs/>
          <w:color w:val="000000"/>
          <w:sz w:val="20"/>
          <w:szCs w:val="20"/>
        </w:rPr>
        <w:t>MODELO DE GESTÃO DO CONTRATO</w:t>
      </w:r>
    </w:p>
    <w:p w14:paraId="0D8500DE"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O contrato deverá ser executado fielmente pelas partes, de acordo com as cláusulas avençadas e as normas da Lei nº 14.133, de 2021, e cada parte responderá pelas consequências de sua inexecução total ou parcial.</w:t>
      </w:r>
    </w:p>
    <w:p w14:paraId="427EF5E0"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Em caso de impedimento, ordem de paralisação ou suspensão do contrato, o cronograma de execução será prorrogado automaticamente pelo tempo correspondente, anotadas tais circunstâncias mediante simples apostila.</w:t>
      </w:r>
    </w:p>
    <w:p w14:paraId="1BAB792E"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As comunicações entre o órgão ou entidade e a contratada devem ser realizadas por escrito sempre que o ato exigir tal formalidade, admitindo-se o uso de mensagem eletrônica para esse fim.</w:t>
      </w:r>
    </w:p>
    <w:p w14:paraId="1C549548"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O órgão ou entidade poderá convocar representante da empresa para adoção de providências que devam ser cumpridas de imediato.</w:t>
      </w:r>
    </w:p>
    <w:p w14:paraId="73EFAE24"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 xml:space="preserve"> Após a assinatura do contrato ou instrumento equivalente</w:t>
      </w:r>
      <w:r>
        <w:rPr>
          <w:rFonts w:ascii="Arial" w:eastAsia="Arial" w:hAnsi="Arial" w:cs="Arial"/>
          <w:strike/>
          <w:color w:val="000000"/>
          <w:sz w:val="20"/>
          <w:szCs w:val="20"/>
        </w:rPr>
        <w:t>,</w:t>
      </w:r>
      <w:r>
        <w:rPr>
          <w:rFonts w:ascii="Arial" w:eastAsia="Arial" w:hAnsi="Arial" w:cs="Arial"/>
          <w:color w:val="000000"/>
          <w:sz w:val="20"/>
          <w:szCs w:val="20"/>
        </w:rPr>
        <w:t xml:space="preserv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4CF883C1" w14:textId="77777777" w:rsidR="00276BB0" w:rsidRDefault="00000000">
      <w:pPr>
        <w:widowControl/>
        <w:pBdr>
          <w:top w:val="nil"/>
          <w:left w:val="nil"/>
          <w:bottom w:val="nil"/>
          <w:right w:val="nil"/>
          <w:between w:val="nil"/>
        </w:pBdr>
        <w:spacing w:before="120" w:after="120" w:line="276" w:lineRule="auto"/>
        <w:ind w:left="1440" w:hanging="720"/>
        <w:jc w:val="both"/>
        <w:rPr>
          <w:rFonts w:ascii="Arial" w:eastAsia="Arial" w:hAnsi="Arial" w:cs="Arial"/>
          <w:b/>
          <w:bCs/>
          <w:color w:val="000000"/>
          <w:sz w:val="20"/>
          <w:szCs w:val="20"/>
        </w:rPr>
      </w:pPr>
      <w:r>
        <w:rPr>
          <w:rFonts w:ascii="Arial" w:eastAsia="Arial" w:hAnsi="Arial" w:cs="Arial"/>
          <w:b/>
          <w:bCs/>
          <w:color w:val="000000"/>
          <w:sz w:val="20"/>
          <w:szCs w:val="20"/>
        </w:rPr>
        <w:t xml:space="preserve">Fiscalização </w:t>
      </w:r>
    </w:p>
    <w:p w14:paraId="74E35382"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A execução do contrato deverá ser acompanhada e fiscalizada pelo(s) fiscal(is) do contrato, ou pelos respectivos substitutos (</w:t>
      </w:r>
      <w:hyperlink r:id="rId16" w:anchor="art117">
        <w:r w:rsidR="00276BB0">
          <w:rPr>
            <w:rFonts w:ascii="Arial" w:eastAsia="Arial" w:hAnsi="Arial" w:cs="Arial"/>
            <w:color w:val="000000"/>
            <w:sz w:val="20"/>
            <w:szCs w:val="20"/>
            <w:u w:val="single"/>
          </w:rPr>
          <w:t>Lei nº 14.133, de 2021, art. 117, caput</w:t>
        </w:r>
      </w:hyperlink>
      <w:r>
        <w:rPr>
          <w:rFonts w:ascii="Arial" w:eastAsia="Arial" w:hAnsi="Arial" w:cs="Arial"/>
          <w:color w:val="000000"/>
          <w:sz w:val="20"/>
          <w:szCs w:val="20"/>
        </w:rPr>
        <w:t>).</w:t>
      </w:r>
    </w:p>
    <w:p w14:paraId="50079E9B" w14:textId="77777777" w:rsidR="00276BB0" w:rsidRDefault="00000000">
      <w:pPr>
        <w:keepNext/>
        <w:keepLines/>
        <w:widowControl/>
        <w:pBdr>
          <w:top w:val="nil"/>
          <w:left w:val="nil"/>
          <w:bottom w:val="nil"/>
          <w:right w:val="nil"/>
          <w:between w:val="nil"/>
        </w:pBdr>
        <w:tabs>
          <w:tab w:val="left" w:pos="567"/>
        </w:tabs>
        <w:spacing w:before="240" w:after="12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Fiscalização Técnica</w:t>
      </w:r>
    </w:p>
    <w:p w14:paraId="4F5C8E3A"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O fiscal técnico do contrato acompanhará a execução do contrato, para que sejam cumpridas todas as condições estabelecidas no contrato, de modo a assegurar os melhores resultados para a Administração. (Decreto Municipal nº 5, de 2023, art. 22, VI);</w:t>
      </w:r>
    </w:p>
    <w:p w14:paraId="2CC932D2" w14:textId="77777777" w:rsidR="00276BB0" w:rsidRDefault="00000000">
      <w:pPr>
        <w:widowControl/>
        <w:numPr>
          <w:ilvl w:val="2"/>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lastRenderedPageBreak/>
        <w:t>O fiscal técnico do contrato anotará no histórico de gerenciamento do contrato todas as ocorrências relacionadas à execução do contrato, com a descrição do que for necessário para a regularização das faltas ou dos defeitos observados. (</w:t>
      </w:r>
      <w:hyperlink r:id="rId17" w:anchor="art117%C2%A71">
        <w:r w:rsidR="00276BB0">
          <w:rPr>
            <w:rFonts w:ascii="Arial" w:eastAsia="Arial" w:hAnsi="Arial" w:cs="Arial"/>
            <w:color w:val="000000"/>
            <w:sz w:val="20"/>
            <w:szCs w:val="20"/>
            <w:u w:val="single"/>
          </w:rPr>
          <w:t>Lei nº 14.133, de 2021, art. 117, §1º</w:t>
        </w:r>
      </w:hyperlink>
      <w:r>
        <w:rPr>
          <w:rFonts w:ascii="Arial" w:eastAsia="Arial" w:hAnsi="Arial" w:cs="Arial"/>
          <w:color w:val="000000"/>
          <w:sz w:val="20"/>
          <w:szCs w:val="20"/>
        </w:rPr>
        <w:t xml:space="preserve">, e </w:t>
      </w:r>
      <w:hyperlink r:id="rId18">
        <w:r w:rsidR="00276BB0">
          <w:rPr>
            <w:rFonts w:ascii="Arial" w:eastAsia="Arial" w:hAnsi="Arial" w:cs="Arial"/>
            <w:color w:val="000000"/>
            <w:sz w:val="20"/>
            <w:szCs w:val="20"/>
            <w:u w:val="single"/>
          </w:rPr>
          <w:t>Decreto Municipal nº 5, de 2023, art. 22, II);</w:t>
        </w:r>
      </w:hyperlink>
    </w:p>
    <w:p w14:paraId="3DAF5D68" w14:textId="77777777" w:rsidR="00276BB0" w:rsidRDefault="00000000">
      <w:pPr>
        <w:widowControl/>
        <w:numPr>
          <w:ilvl w:val="2"/>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Identificada qualquer inexatidão ou irregularidade, o fiscal técnico do contrato emitirá notificações para a correção da execução do contrato, determinando prazo para a correção. (</w:t>
      </w:r>
      <w:hyperlink r:id="rId19">
        <w:r w:rsidR="00276BB0">
          <w:rPr>
            <w:rFonts w:ascii="Arial" w:eastAsia="Arial" w:hAnsi="Arial" w:cs="Arial"/>
            <w:color w:val="000000"/>
            <w:sz w:val="20"/>
            <w:szCs w:val="20"/>
            <w:u w:val="single"/>
          </w:rPr>
          <w:t>Decreto Municipal nº 5, de 2023, art. 22, III</w:t>
        </w:r>
      </w:hyperlink>
      <w:r>
        <w:rPr>
          <w:rFonts w:ascii="Arial" w:eastAsia="Arial" w:hAnsi="Arial" w:cs="Arial"/>
          <w:color w:val="000000"/>
          <w:sz w:val="20"/>
          <w:szCs w:val="20"/>
        </w:rPr>
        <w:t xml:space="preserve">); </w:t>
      </w:r>
    </w:p>
    <w:p w14:paraId="0B9F44B0" w14:textId="77777777" w:rsidR="00276BB0" w:rsidRDefault="00000000">
      <w:pPr>
        <w:widowControl/>
        <w:numPr>
          <w:ilvl w:val="2"/>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O fiscal técnico do contrato informará ao gestor do contato, em tempo hábil, a situação que demandar decisão ou adoção de medidas que ultrapassem sua competência, para que adote as medidas necessárias e saneadoras, se for o caso. (</w:t>
      </w:r>
      <w:hyperlink r:id="rId20">
        <w:r w:rsidR="00276BB0">
          <w:rPr>
            <w:rFonts w:ascii="Arial" w:eastAsia="Arial" w:hAnsi="Arial" w:cs="Arial"/>
            <w:color w:val="000000"/>
            <w:sz w:val="20"/>
            <w:szCs w:val="20"/>
            <w:u w:val="single"/>
          </w:rPr>
          <w:t>Decreto Municipal nº 5, de 2023, art. 22, IV</w:t>
        </w:r>
      </w:hyperlink>
      <w:r>
        <w:rPr>
          <w:rFonts w:ascii="Arial" w:eastAsia="Arial" w:hAnsi="Arial" w:cs="Arial"/>
          <w:color w:val="000000"/>
          <w:sz w:val="20"/>
          <w:szCs w:val="20"/>
        </w:rPr>
        <w:t>).</w:t>
      </w:r>
    </w:p>
    <w:p w14:paraId="781AC89C" w14:textId="77777777" w:rsidR="00276BB0" w:rsidRDefault="00000000">
      <w:pPr>
        <w:widowControl/>
        <w:numPr>
          <w:ilvl w:val="2"/>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No caso de ocorrências que possam inviabilizar a execução do contrato nas datas aprazadas, o fiscal técnico do contrato comunicará o fato imediatamente ao gestor do contrato. (</w:t>
      </w:r>
      <w:hyperlink r:id="rId21">
        <w:r w:rsidR="00276BB0">
          <w:rPr>
            <w:rFonts w:ascii="Arial" w:eastAsia="Arial" w:hAnsi="Arial" w:cs="Arial"/>
            <w:color w:val="000000"/>
            <w:sz w:val="20"/>
            <w:szCs w:val="20"/>
            <w:u w:val="single"/>
          </w:rPr>
          <w:t>Decreto Municipal nº 5, de 2023, art. 22, V</w:t>
        </w:r>
      </w:hyperlink>
      <w:r>
        <w:rPr>
          <w:rFonts w:ascii="Arial" w:eastAsia="Arial" w:hAnsi="Arial" w:cs="Arial"/>
          <w:color w:val="000000"/>
          <w:sz w:val="20"/>
          <w:szCs w:val="20"/>
        </w:rPr>
        <w:t>).</w:t>
      </w:r>
    </w:p>
    <w:p w14:paraId="368EFD1D" w14:textId="77777777" w:rsidR="00276BB0" w:rsidRDefault="00000000">
      <w:pPr>
        <w:widowControl/>
        <w:numPr>
          <w:ilvl w:val="2"/>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 xml:space="preserve">O fiscal técnico do contrato comunicará ao gestor do contrato, em tempo hábil, o término do contrato sob sua responsabilidade, com vistas à renovação tempestiva ou à prorrogação contratual </w:t>
      </w:r>
      <w:hyperlink r:id="rId22">
        <w:r w:rsidR="00276BB0">
          <w:rPr>
            <w:rFonts w:ascii="Arial" w:eastAsia="Arial" w:hAnsi="Arial" w:cs="Arial"/>
            <w:color w:val="000000"/>
            <w:sz w:val="20"/>
            <w:szCs w:val="20"/>
            <w:u w:val="single"/>
          </w:rPr>
          <w:t>(Decreto Municipal nº 5, de 2023, art. 22, VII</w:t>
        </w:r>
      </w:hyperlink>
      <w:r>
        <w:rPr>
          <w:rFonts w:ascii="Arial" w:eastAsia="Arial" w:hAnsi="Arial" w:cs="Arial"/>
          <w:color w:val="000000"/>
          <w:sz w:val="20"/>
          <w:szCs w:val="20"/>
        </w:rPr>
        <w:t>).</w:t>
      </w:r>
    </w:p>
    <w:p w14:paraId="2690FF81" w14:textId="77777777" w:rsidR="00276BB0" w:rsidRDefault="00000000">
      <w:pPr>
        <w:keepNext/>
        <w:keepLines/>
        <w:widowControl/>
        <w:pBdr>
          <w:top w:val="nil"/>
          <w:left w:val="nil"/>
          <w:bottom w:val="nil"/>
          <w:right w:val="nil"/>
          <w:between w:val="nil"/>
        </w:pBdr>
        <w:tabs>
          <w:tab w:val="left" w:pos="567"/>
        </w:tabs>
        <w:spacing w:before="240" w:after="12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Fiscalização Administrativa</w:t>
      </w:r>
    </w:p>
    <w:p w14:paraId="23A6B3A8"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(Art. 23, I e II, do Decreto Municipal nº 5, de 2023).</w:t>
      </w:r>
    </w:p>
    <w:p w14:paraId="4D470BEC" w14:textId="77777777" w:rsidR="00276BB0" w:rsidRDefault="00000000">
      <w:pPr>
        <w:widowControl/>
        <w:numPr>
          <w:ilvl w:val="2"/>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Caso ocorra descumprimento das obrigações contratuais, o fiscal administrativo do contrato atuará tempestivamente na solução do problema, reportando ao gestor do contrato para que tome as providências cabíveis, quando ultrapassar a sua competência; (Decreto Municipal nº 5, de 2023, art. 23, IV).</w:t>
      </w:r>
    </w:p>
    <w:p w14:paraId="39A1390C" w14:textId="77777777" w:rsidR="00276BB0" w:rsidRDefault="00000000">
      <w:pPr>
        <w:keepNext/>
        <w:keepLines/>
        <w:widowControl/>
        <w:pBdr>
          <w:top w:val="nil"/>
          <w:left w:val="nil"/>
          <w:bottom w:val="nil"/>
          <w:right w:val="nil"/>
          <w:between w:val="nil"/>
        </w:pBdr>
        <w:tabs>
          <w:tab w:val="left" w:pos="567"/>
        </w:tabs>
        <w:spacing w:before="240" w:after="12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Gestor do Contrato</w:t>
      </w:r>
    </w:p>
    <w:p w14:paraId="791652CE"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Municipal nº 5, de 2023, art. 21, IV).</w:t>
      </w:r>
    </w:p>
    <w:p w14:paraId="687393AE"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 xml:space="preserve">O gestor do contrato acompanhará os registros realizados pelos fiscais do contrato, de todas as ocorrências relacionadas à execução do contrato e as medidas adotadas, informando, se for o caso, à autoridade superior àquelas que ultrapassarem a sua competência. (Decreto Municipal nº 5, de 2023, art. 21, II). </w:t>
      </w:r>
    </w:p>
    <w:p w14:paraId="34F57B50"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 xml:space="preserve">O gestor do contrato acompanhará a manutenção das condições de habilitação da contratada, para fins de empenho de despesa e pagamento, e anotará os problemas que obstem o fluxo normal da liquidação e do pagamento da despesa no relatório de riscos eventuais. (Decreto Municipal nº 5, de 2023, art. 21, III). </w:t>
      </w:r>
    </w:p>
    <w:p w14:paraId="488884A1"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 xml:space="preserve">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(Decreto Municipal nº 5, de 2023, art. 21, VIII). </w:t>
      </w:r>
    </w:p>
    <w:p w14:paraId="3854E2CA"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lastRenderedPageBreak/>
        <w:t xml:space="preserve">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Municipal nº 5, de 2023, art. 21, X). </w:t>
      </w:r>
    </w:p>
    <w:p w14:paraId="2B8D321B"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 xml:space="preserve">O gestor do contrato deverá elaborar relatório final com informações sobre a consecução dos objetivos que tenham justificado a contratação e eventuais condutas a serem adotadas para o aprimoramento das atividades da Administração. (Decreto Municipal nº 5, de 2023, art. 21, VI). </w:t>
      </w:r>
    </w:p>
    <w:p w14:paraId="62C7FDAA" w14:textId="77777777" w:rsidR="00276BB0" w:rsidRDefault="00000000">
      <w:pPr>
        <w:numPr>
          <w:ilvl w:val="1"/>
          <w:numId w:val="2"/>
        </w:numPr>
        <w:tabs>
          <w:tab w:val="left" w:pos="284"/>
          <w:tab w:val="left" w:pos="1418"/>
        </w:tabs>
        <w:spacing w:before="119" w:after="0" w:line="240" w:lineRule="auto"/>
        <w:ind w:left="993" w:right="-30"/>
        <w:jc w:val="both"/>
        <w:rPr>
          <w:rFonts w:ascii="Arial" w:eastAsia="Arial" w:hAnsi="Arial" w:cs="Arial"/>
          <w:color w:val="000000"/>
          <w:sz w:val="18"/>
          <w:szCs w:val="18"/>
        </w:rPr>
      </w:pPr>
      <w:r>
        <w:rPr>
          <w:rFonts w:ascii="Arial" w:eastAsia="Arial" w:hAnsi="Arial" w:cs="Arial"/>
          <w:color w:val="000000"/>
          <w:sz w:val="20"/>
          <w:szCs w:val="20"/>
        </w:rPr>
        <w:t>O gestor do contrato deverá enviar a documentação pertinente ao setor de contratos para a formalização dos procedimentos de liquidação e pagamento, no valor dimensionado pela fiscalização e gestão nos termos do contrato.</w:t>
      </w:r>
    </w:p>
    <w:p w14:paraId="2D5B4404" w14:textId="77777777" w:rsidR="00276BB0" w:rsidRDefault="00000000">
      <w:pPr>
        <w:numPr>
          <w:ilvl w:val="0"/>
          <w:numId w:val="2"/>
        </w:numPr>
        <w:shd w:val="clear" w:color="auto" w:fill="BFBFBF"/>
        <w:tabs>
          <w:tab w:val="left" w:pos="720"/>
        </w:tabs>
        <w:spacing w:before="283" w:after="283" w:line="240" w:lineRule="auto"/>
        <w:ind w:right="-30"/>
        <w:jc w:val="both"/>
        <w:rPr>
          <w:rFonts w:ascii="Arial" w:eastAsia="Arial" w:hAnsi="Arial" w:cs="Arial"/>
          <w:b/>
          <w:bCs/>
          <w:color w:val="000000"/>
          <w:sz w:val="20"/>
          <w:szCs w:val="20"/>
        </w:rPr>
      </w:pPr>
      <w:r>
        <w:rPr>
          <w:rFonts w:ascii="Arial" w:eastAsia="Arial" w:hAnsi="Arial" w:cs="Arial"/>
          <w:b/>
          <w:bCs/>
          <w:color w:val="000000"/>
          <w:sz w:val="20"/>
          <w:szCs w:val="20"/>
        </w:rPr>
        <w:t>CRITÉRIOS DE MEDIÇÃO E DE PAGAMENTO</w:t>
      </w:r>
    </w:p>
    <w:p w14:paraId="214D1E74" w14:textId="77777777" w:rsidR="00276BB0" w:rsidRDefault="00000000">
      <w:pPr>
        <w:keepNext/>
        <w:keepLines/>
        <w:widowControl/>
        <w:pBdr>
          <w:top w:val="nil"/>
          <w:left w:val="nil"/>
          <w:bottom w:val="nil"/>
          <w:right w:val="nil"/>
          <w:between w:val="nil"/>
        </w:pBdr>
        <w:tabs>
          <w:tab w:val="left" w:pos="567"/>
        </w:tabs>
        <w:spacing w:before="240" w:after="12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Recebimento</w:t>
      </w:r>
    </w:p>
    <w:p w14:paraId="2696092E"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Os bens serão recebidos provisoriamente, de forma sumária, no ato da entrega, juntamente com a nota fiscal ou instrumento de cobrança equivalente, pelo(a) responsável pelo acompanhamento e fiscalização do contrato, para efeito de posterior verificação de sua conformidade com as especificações constantes no Termo de Referência e na proposta.</w:t>
      </w:r>
    </w:p>
    <w:p w14:paraId="64EAF6A9"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Os bens poderão ser rejeitados, no todo ou em parte, inclusive antes do recebimento provisório, quando em desacordo com as especificações constantes no Termo de Referência e na proposta, devendo ser substituídos no prazo de 2 (dois) dias, a contar da notificação da contratada, às suas custas, sem prejuízo da aplicação das penalidades.</w:t>
      </w:r>
    </w:p>
    <w:p w14:paraId="2505A024"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O recebimento definitivo ocorrerá no prazo de 5 (cinco) dias úteis, a contar do recebimento da nota fiscal ou instrumento de cobrança equivalente pela Administração, após a verificação da qualidade e quantidade do material e consequente aceitação mediante termo detalhado.</w:t>
      </w:r>
    </w:p>
    <w:p w14:paraId="63DD4A63"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 xml:space="preserve">Para as contratações decorrentes de despesas cujos valores não ultrapassem o limite de que trata o </w:t>
      </w:r>
      <w:hyperlink r:id="rId23" w:anchor="art75">
        <w:r w:rsidR="00276BB0">
          <w:rPr>
            <w:rFonts w:ascii="Arial" w:eastAsia="Arial" w:hAnsi="Arial" w:cs="Arial"/>
            <w:color w:val="000000"/>
            <w:sz w:val="20"/>
            <w:szCs w:val="20"/>
            <w:u w:val="single"/>
          </w:rPr>
          <w:t>inciso II do art. 75 da Lei nº 14.133, de 2021</w:t>
        </w:r>
      </w:hyperlink>
      <w:r>
        <w:rPr>
          <w:rFonts w:ascii="Arial" w:eastAsia="Arial" w:hAnsi="Arial" w:cs="Arial"/>
          <w:color w:val="000000"/>
          <w:sz w:val="20"/>
          <w:szCs w:val="20"/>
        </w:rPr>
        <w:t>, o prazo máximo para o recebimento definitivo será de até 3 (três) dias úteis.</w:t>
      </w:r>
    </w:p>
    <w:p w14:paraId="3B7B927B"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O prazo para recebimento definitivo poderá ser excepcionalmente prorrogado, de forma justificada, por igual período, quando houver necessidade de diligências para a aferição do atendimento das exigências contratuais.</w:t>
      </w:r>
    </w:p>
    <w:p w14:paraId="0EAF3C59"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 xml:space="preserve">No caso de controvérsia sobre a execução do objeto, quanto à dimensão, qualidade e quantidade, deverá ser observado o teor do </w:t>
      </w:r>
      <w:hyperlink r:id="rId24" w:anchor="art143">
        <w:r w:rsidR="00276BB0">
          <w:rPr>
            <w:rFonts w:ascii="Arial" w:eastAsia="Arial" w:hAnsi="Arial" w:cs="Arial"/>
            <w:color w:val="000000"/>
            <w:sz w:val="20"/>
            <w:szCs w:val="20"/>
            <w:u w:val="single"/>
          </w:rPr>
          <w:t>art. 143 da Lei nº 14.133, de 2021</w:t>
        </w:r>
      </w:hyperlink>
      <w:r>
        <w:rPr>
          <w:rFonts w:ascii="Arial" w:eastAsia="Arial" w:hAnsi="Arial" w:cs="Arial"/>
          <w:color w:val="000000"/>
          <w:sz w:val="20"/>
          <w:szCs w:val="20"/>
        </w:rPr>
        <w:t>, comunicando-se à empresa para emissão de Nota Fiscal no que pertine à parcela incontroversa da execução do objeto, para efeito de liquidação e pagamento.</w:t>
      </w:r>
    </w:p>
    <w:p w14:paraId="73AAD6A1"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7BF8D672"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O recebimento provisório ou definitivo não excluirá a responsabilidade civil pela solidez e pela segurança dos bens nem a responsabilidade ético-profissional pela perfeita execução do contrato.</w:t>
      </w:r>
    </w:p>
    <w:p w14:paraId="1447CC47" w14:textId="77777777" w:rsidR="00276BB0" w:rsidRDefault="00000000">
      <w:pPr>
        <w:keepNext/>
        <w:keepLines/>
        <w:widowControl/>
        <w:pBdr>
          <w:top w:val="nil"/>
          <w:left w:val="nil"/>
          <w:bottom w:val="nil"/>
          <w:right w:val="nil"/>
          <w:between w:val="nil"/>
        </w:pBdr>
        <w:tabs>
          <w:tab w:val="left" w:pos="567"/>
        </w:tabs>
        <w:spacing w:before="240" w:after="12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Liquidação</w:t>
      </w:r>
    </w:p>
    <w:p w14:paraId="217472D2"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Recebida a Nota Fiscal ou documento de cobrança equivalente, correrá o prazo de dez dias úteis para fins de liquidação, na forma desta seção, prorrogáveis por igual período.</w:t>
      </w:r>
    </w:p>
    <w:p w14:paraId="0B65B085" w14:textId="77777777" w:rsidR="00276BB0" w:rsidRDefault="00000000">
      <w:pPr>
        <w:widowControl/>
        <w:numPr>
          <w:ilvl w:val="2"/>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 xml:space="preserve">O prazo de que trata o item anterior será reduzido à metade, mantendo-se a possibilidade de prorrogação, no caso de contratações decorrentes de despesas cujos valores não ultrapassem o limite de que trata o </w:t>
      </w:r>
      <w:hyperlink r:id="rId25" w:anchor="art75">
        <w:r w:rsidR="00276BB0">
          <w:rPr>
            <w:rFonts w:ascii="Arial" w:eastAsia="Arial" w:hAnsi="Arial" w:cs="Arial"/>
            <w:color w:val="000000"/>
            <w:sz w:val="20"/>
            <w:szCs w:val="20"/>
            <w:u w:val="single"/>
          </w:rPr>
          <w:t>inciso II do art. 75 da Lei nº 14.133, de 2021</w:t>
        </w:r>
      </w:hyperlink>
      <w:r>
        <w:rPr>
          <w:rFonts w:ascii="Arial" w:eastAsia="Arial" w:hAnsi="Arial" w:cs="Arial"/>
          <w:color w:val="000000"/>
          <w:sz w:val="20"/>
          <w:szCs w:val="20"/>
        </w:rPr>
        <w:t>.</w:t>
      </w:r>
    </w:p>
    <w:p w14:paraId="573183B4"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lastRenderedPageBreak/>
        <w:t xml:space="preserve">Para fins de liquidação, o setor competente deverá verificar se a nota fiscal ou instrumento de cobrança equivalente apresentado expressa os elementos necessários e essenciais do documento, tais como: </w:t>
      </w:r>
    </w:p>
    <w:p w14:paraId="219682BC" w14:textId="77777777" w:rsidR="00276BB0" w:rsidRDefault="00000000">
      <w:pPr>
        <w:widowControl/>
        <w:numPr>
          <w:ilvl w:val="2"/>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o prazo de validade;</w:t>
      </w:r>
    </w:p>
    <w:p w14:paraId="262220D1" w14:textId="77777777" w:rsidR="00276BB0" w:rsidRDefault="00000000">
      <w:pPr>
        <w:widowControl/>
        <w:numPr>
          <w:ilvl w:val="2"/>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 xml:space="preserve">a data da emissão; </w:t>
      </w:r>
    </w:p>
    <w:p w14:paraId="0651C673" w14:textId="77777777" w:rsidR="00276BB0" w:rsidRDefault="00000000">
      <w:pPr>
        <w:widowControl/>
        <w:numPr>
          <w:ilvl w:val="2"/>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 xml:space="preserve">os dados do contrato e do órgão contratante; </w:t>
      </w:r>
    </w:p>
    <w:p w14:paraId="0A36D910" w14:textId="77777777" w:rsidR="00276BB0" w:rsidRDefault="00000000">
      <w:pPr>
        <w:widowControl/>
        <w:numPr>
          <w:ilvl w:val="2"/>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 xml:space="preserve">o período respectivo de execução do contrato; </w:t>
      </w:r>
    </w:p>
    <w:p w14:paraId="7531DF86" w14:textId="77777777" w:rsidR="00276BB0" w:rsidRDefault="00000000">
      <w:pPr>
        <w:widowControl/>
        <w:numPr>
          <w:ilvl w:val="2"/>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 xml:space="preserve">o valor a pagar; e </w:t>
      </w:r>
    </w:p>
    <w:p w14:paraId="15591809" w14:textId="77777777" w:rsidR="00276BB0" w:rsidRDefault="00000000">
      <w:pPr>
        <w:widowControl/>
        <w:numPr>
          <w:ilvl w:val="2"/>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eventual destaque do valor de retenções tributárias cabíveis.</w:t>
      </w:r>
    </w:p>
    <w:p w14:paraId="15FBCA98"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 xml:space="preserve"> Havendo erro na apresentação da nota fiscal ou instrumento de cobrança equivalente, ou circunstância que impeça a liquidação da despesa, esta ficará sobrestada até que o contratado providencie as medidas saneadoras, reiniciando-se o prazo após a comprovação da regularização da situação, sem ônus ao contratante;</w:t>
      </w:r>
    </w:p>
    <w:p w14:paraId="7797DAF8"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 xml:space="preserve"> A nota fiscal ou instrumento de cobrança equivalente deverá ser obrigatoriamente acompanhado da comprovação da regularidade fiscal, constatada por meio de consulta on-line ao SICAF ou, na impossibilidade de acesso ao referido Sistema, mediante consulta aos sítios eletrônicos oficiais ou à documentação mencionada no </w:t>
      </w:r>
      <w:hyperlink r:id="rId26" w:anchor="art68">
        <w:r w:rsidR="00276BB0">
          <w:rPr>
            <w:rFonts w:ascii="Arial" w:eastAsia="Arial" w:hAnsi="Arial" w:cs="Arial"/>
            <w:color w:val="000000"/>
            <w:sz w:val="20"/>
            <w:szCs w:val="20"/>
            <w:u w:val="single"/>
          </w:rPr>
          <w:t xml:space="preserve">art. 68 da Lei nº 14.133, de 2021.  </w:t>
        </w:r>
      </w:hyperlink>
      <w:r>
        <w:rPr>
          <w:rFonts w:ascii="Arial" w:eastAsia="Arial" w:hAnsi="Arial" w:cs="Arial"/>
          <w:color w:val="000000"/>
          <w:sz w:val="20"/>
          <w:szCs w:val="20"/>
        </w:rPr>
        <w:t xml:space="preserve"> </w:t>
      </w:r>
    </w:p>
    <w:p w14:paraId="17B84D50"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w:t>
      </w:r>
    </w:p>
    <w:p w14:paraId="147ABB39"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436D4649"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522E2A6C"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 xml:space="preserve">Persistindo a irregularidade, o contratante deverá adotar as medidas necessárias à rescisão contratual nos autos do processo administrativo correspondente, assegurada ao contratado a ampla defesa. </w:t>
      </w:r>
    </w:p>
    <w:p w14:paraId="501E4B26"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 xml:space="preserve">Havendo a efetiva execução do objeto, os pagamentos serão realizados normalmente, até que se decida pela rescisão do contrato, caso o contratado não regularize sua situação junto ao SICAF.  </w:t>
      </w:r>
    </w:p>
    <w:p w14:paraId="3535C972" w14:textId="77777777" w:rsidR="00276BB0" w:rsidRDefault="00000000">
      <w:pPr>
        <w:keepNext/>
        <w:keepLines/>
        <w:widowControl/>
        <w:pBdr>
          <w:top w:val="nil"/>
          <w:left w:val="nil"/>
          <w:bottom w:val="nil"/>
          <w:right w:val="nil"/>
          <w:between w:val="nil"/>
        </w:pBdr>
        <w:tabs>
          <w:tab w:val="left" w:pos="567"/>
        </w:tabs>
        <w:spacing w:before="240" w:after="12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Prazo de pagamento</w:t>
      </w:r>
    </w:p>
    <w:p w14:paraId="6B7DEFAE"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O pagamento será efetuado no prazo de até 30 (vinte) dias úteis contados da finalização da liquidação da despesa, conforme seção anterior.</w:t>
      </w:r>
    </w:p>
    <w:p w14:paraId="5960DB2C"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No caso de atraso pelo Contratante, os valores devidos ao contratado serão atualizados monetariamente entre o termo final do prazo de pagamento até a data de sua efetiva realização, mediante aplicação do índice IPCA de correção monetária.</w:t>
      </w:r>
    </w:p>
    <w:p w14:paraId="73C515A7" w14:textId="77777777" w:rsidR="00276BB0" w:rsidRDefault="00000000">
      <w:pPr>
        <w:keepNext/>
        <w:keepLines/>
        <w:widowControl/>
        <w:pBdr>
          <w:top w:val="nil"/>
          <w:left w:val="nil"/>
          <w:bottom w:val="nil"/>
          <w:right w:val="nil"/>
          <w:between w:val="nil"/>
        </w:pBdr>
        <w:tabs>
          <w:tab w:val="left" w:pos="567"/>
        </w:tabs>
        <w:spacing w:before="240" w:after="12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Forma de pagamento</w:t>
      </w:r>
    </w:p>
    <w:p w14:paraId="6ADC8C5F"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O pagamento será realizado por meio de ordem bancária, para crédito em banco, agência e conta corrente indicados pelo contratado.</w:t>
      </w:r>
    </w:p>
    <w:p w14:paraId="2A01F726"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lastRenderedPageBreak/>
        <w:t>Será considerada data do pagamento o dia em que constar como emitida a ordem bancária para pagamento.</w:t>
      </w:r>
    </w:p>
    <w:p w14:paraId="2873302B"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Quando do pagamento, será efetuada a retenção tributária prevista na legislação aplicável.</w:t>
      </w:r>
    </w:p>
    <w:p w14:paraId="660BA069" w14:textId="77777777" w:rsidR="00276BB0" w:rsidRDefault="00000000">
      <w:pPr>
        <w:widowControl/>
        <w:numPr>
          <w:ilvl w:val="2"/>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Independentemente do percentual de tributo inserido na planilha, quando houver, serão retidos na fonte, quando da realização do pagamento, os percentuais estabelecidos na legislação vigente.</w:t>
      </w:r>
    </w:p>
    <w:p w14:paraId="6715BE39"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 xml:space="preserve">O contratado regularmente optante pelo Simples Nacional, nos termos da </w:t>
      </w:r>
      <w:hyperlink r:id="rId27">
        <w:r w:rsidR="00276BB0">
          <w:rPr>
            <w:rFonts w:ascii="Arial" w:eastAsia="Arial" w:hAnsi="Arial" w:cs="Arial"/>
            <w:color w:val="000000"/>
            <w:sz w:val="20"/>
            <w:szCs w:val="20"/>
            <w:u w:val="single"/>
          </w:rPr>
          <w:t>Lei Complementar nº 123, de 2006</w:t>
        </w:r>
      </w:hyperlink>
      <w:r>
        <w:rPr>
          <w:rFonts w:ascii="Arial" w:eastAsia="Arial" w:hAnsi="Arial" w:cs="Arial"/>
          <w:color w:val="000000"/>
          <w:sz w:val="20"/>
          <w:szCs w:val="20"/>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482F87FE" w14:textId="77777777" w:rsidR="00276BB0" w:rsidRDefault="00000000">
      <w:pPr>
        <w:numPr>
          <w:ilvl w:val="0"/>
          <w:numId w:val="2"/>
        </w:numPr>
        <w:shd w:val="clear" w:color="auto" w:fill="BFBFBF"/>
        <w:tabs>
          <w:tab w:val="left" w:pos="720"/>
        </w:tabs>
        <w:spacing w:before="283" w:after="283" w:line="240" w:lineRule="auto"/>
        <w:ind w:right="-30"/>
        <w:jc w:val="both"/>
        <w:rPr>
          <w:rFonts w:ascii="Arial" w:eastAsia="Arial" w:hAnsi="Arial" w:cs="Arial"/>
          <w:color w:val="000000"/>
          <w:sz w:val="20"/>
          <w:szCs w:val="20"/>
        </w:rPr>
      </w:pPr>
      <w:r>
        <w:rPr>
          <w:rFonts w:ascii="Arial" w:eastAsia="Arial" w:hAnsi="Arial" w:cs="Arial"/>
          <w:b/>
          <w:bCs/>
          <w:color w:val="000000"/>
          <w:sz w:val="20"/>
          <w:szCs w:val="20"/>
        </w:rPr>
        <w:t>FORMA E CRITÉRIOS DE SELEÇÃO DO FORNECEDOR E FORMA DE FORNECIMENTO</w:t>
      </w:r>
    </w:p>
    <w:p w14:paraId="6280FBB4" w14:textId="77777777" w:rsidR="00276BB0" w:rsidRDefault="00000000">
      <w:pPr>
        <w:keepNext/>
        <w:keepLines/>
        <w:widowControl/>
        <w:pBdr>
          <w:top w:val="nil"/>
          <w:left w:val="nil"/>
          <w:bottom w:val="nil"/>
          <w:right w:val="nil"/>
          <w:between w:val="nil"/>
        </w:pBdr>
        <w:tabs>
          <w:tab w:val="left" w:pos="567"/>
        </w:tabs>
        <w:spacing w:before="240" w:after="120" w:line="276" w:lineRule="auto"/>
        <w:jc w:val="both"/>
        <w:rPr>
          <w:rFonts w:ascii="Arial" w:eastAsia="Arial" w:hAnsi="Arial" w:cs="Arial"/>
          <w:b/>
          <w:bCs/>
          <w:color w:val="000000"/>
          <w:sz w:val="20"/>
          <w:szCs w:val="20"/>
          <w:highlight w:val="yellow"/>
        </w:rPr>
      </w:pPr>
      <w:r>
        <w:rPr>
          <w:rFonts w:ascii="Arial" w:eastAsia="Arial" w:hAnsi="Arial" w:cs="Arial"/>
          <w:b/>
          <w:bCs/>
          <w:color w:val="000000"/>
          <w:sz w:val="20"/>
          <w:szCs w:val="20"/>
        </w:rPr>
        <w:t>Forma de seleção e critério de julgamento da proposta</w:t>
      </w:r>
    </w:p>
    <w:p w14:paraId="09451FD4"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O fornecedor será selecionado por meio da realização de procedimento de LICITAÇÃO, na modalidade PREGÃO, sob a forma ELETRÔNICA, com adoção do critério de julgamento pelo MENOR PREÇO.</w:t>
      </w:r>
    </w:p>
    <w:p w14:paraId="3BE2D006" w14:textId="77777777" w:rsidR="00276BB0" w:rsidRDefault="00000000">
      <w:pPr>
        <w:keepNext/>
        <w:keepLines/>
        <w:widowControl/>
        <w:pBdr>
          <w:top w:val="nil"/>
          <w:left w:val="nil"/>
          <w:bottom w:val="nil"/>
          <w:right w:val="nil"/>
          <w:between w:val="nil"/>
        </w:pBdr>
        <w:tabs>
          <w:tab w:val="left" w:pos="567"/>
        </w:tabs>
        <w:spacing w:before="240" w:after="12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Forma de fornecimento</w:t>
      </w:r>
    </w:p>
    <w:p w14:paraId="07533F04"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highlight w:val="white"/>
        </w:rPr>
        <w:t xml:space="preserve">O fornecimento do objeto será </w:t>
      </w:r>
      <w:r>
        <w:rPr>
          <w:rFonts w:ascii="Arial" w:eastAsia="Arial" w:hAnsi="Arial" w:cs="Arial"/>
          <w:color w:val="000000"/>
          <w:sz w:val="20"/>
          <w:szCs w:val="20"/>
        </w:rPr>
        <w:t>[integral/parcelado/continuado]</w:t>
      </w:r>
      <w:r>
        <w:rPr>
          <w:rFonts w:ascii="Arial" w:eastAsia="Arial" w:hAnsi="Arial" w:cs="Arial"/>
          <w:color w:val="000000"/>
          <w:sz w:val="20"/>
          <w:szCs w:val="20"/>
          <w:highlight w:val="white"/>
        </w:rPr>
        <w:t>.</w:t>
      </w:r>
    </w:p>
    <w:p w14:paraId="1FA51ED9" w14:textId="77777777" w:rsidR="00276BB0" w:rsidRDefault="00000000">
      <w:pPr>
        <w:keepNext/>
        <w:keepLines/>
        <w:widowControl/>
        <w:pBdr>
          <w:top w:val="nil"/>
          <w:left w:val="nil"/>
          <w:bottom w:val="nil"/>
          <w:right w:val="nil"/>
          <w:between w:val="nil"/>
        </w:pBdr>
        <w:tabs>
          <w:tab w:val="left" w:pos="567"/>
        </w:tabs>
        <w:spacing w:before="240" w:after="12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Exigências de habilitação</w:t>
      </w:r>
    </w:p>
    <w:p w14:paraId="1C9D2C9F"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Para fins de habilitação, deverá o licitante comprovar os seguintes requisitos:</w:t>
      </w:r>
    </w:p>
    <w:p w14:paraId="54C595AB" w14:textId="77777777" w:rsidR="00276BB0" w:rsidRDefault="00000000">
      <w:pPr>
        <w:keepNext/>
        <w:keepLines/>
        <w:widowControl/>
        <w:pBdr>
          <w:top w:val="nil"/>
          <w:left w:val="nil"/>
          <w:bottom w:val="nil"/>
          <w:right w:val="nil"/>
          <w:between w:val="nil"/>
        </w:pBdr>
        <w:tabs>
          <w:tab w:val="left" w:pos="567"/>
        </w:tabs>
        <w:spacing w:before="240" w:after="12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Habilitação jurídica</w:t>
      </w:r>
    </w:p>
    <w:p w14:paraId="3B0BAD05"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bookmarkStart w:id="2" w:name="_heading=h.6fvapwxbdbgi" w:colFirst="0" w:colLast="0"/>
      <w:bookmarkEnd w:id="2"/>
      <w:r>
        <w:rPr>
          <w:rFonts w:ascii="Arial" w:eastAsia="Arial" w:hAnsi="Arial" w:cs="Arial"/>
          <w:b/>
          <w:bCs/>
          <w:color w:val="000000"/>
          <w:sz w:val="20"/>
          <w:szCs w:val="20"/>
        </w:rPr>
        <w:t>Pessoa física:</w:t>
      </w:r>
      <w:r>
        <w:rPr>
          <w:rFonts w:ascii="Arial" w:eastAsia="Arial" w:hAnsi="Arial" w:cs="Arial"/>
          <w:color w:val="000000"/>
          <w:sz w:val="20"/>
          <w:szCs w:val="20"/>
        </w:rPr>
        <w:t xml:space="preserve"> cédula de identidade (RG) ou documento equivalente que, por força de lei, tenha validade para fins de identificação em todo o território nacional;</w:t>
      </w:r>
    </w:p>
    <w:p w14:paraId="49F961DF"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b/>
          <w:bCs/>
          <w:color w:val="000000"/>
          <w:sz w:val="20"/>
          <w:szCs w:val="20"/>
        </w:rPr>
        <w:t>Empresário individual:</w:t>
      </w:r>
      <w:r>
        <w:rPr>
          <w:rFonts w:ascii="Arial" w:eastAsia="Arial" w:hAnsi="Arial" w:cs="Arial"/>
          <w:color w:val="000000"/>
          <w:sz w:val="20"/>
          <w:szCs w:val="20"/>
        </w:rPr>
        <w:t xml:space="preserve"> inscrição no Registro Público de Empresas Mercantis, a cargo da Junta Comercial da respectiva sede; </w:t>
      </w:r>
    </w:p>
    <w:p w14:paraId="7F2C85AB"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b/>
          <w:bCs/>
          <w:color w:val="000000"/>
          <w:sz w:val="20"/>
          <w:szCs w:val="20"/>
        </w:rPr>
        <w:t>Microempreendedor Individual - MEI:</w:t>
      </w:r>
      <w:r>
        <w:rPr>
          <w:rFonts w:ascii="Arial" w:eastAsia="Arial" w:hAnsi="Arial" w:cs="Arial"/>
          <w:color w:val="000000"/>
          <w:sz w:val="20"/>
          <w:szCs w:val="20"/>
        </w:rPr>
        <w:t xml:space="preserve"> Certificado da Condição de Microempreendedor Individual - CCMEI, cuja aceitação ficará condicionada à verificação da autenticidade no sítio </w:t>
      </w:r>
      <w:hyperlink r:id="rId28">
        <w:r w:rsidR="00276BB0">
          <w:rPr>
            <w:rFonts w:ascii="Arial" w:eastAsia="Arial" w:hAnsi="Arial" w:cs="Arial"/>
            <w:color w:val="000000"/>
            <w:sz w:val="20"/>
            <w:szCs w:val="20"/>
            <w:u w:val="single"/>
          </w:rPr>
          <w:t>https://www.gov.br/empresas-e-negocios/pt-br/empreendedor</w:t>
        </w:r>
      </w:hyperlink>
      <w:r>
        <w:rPr>
          <w:rFonts w:ascii="Arial" w:eastAsia="Arial" w:hAnsi="Arial" w:cs="Arial"/>
          <w:color w:val="000000"/>
          <w:sz w:val="20"/>
          <w:szCs w:val="20"/>
        </w:rPr>
        <w:t xml:space="preserve">; </w:t>
      </w:r>
    </w:p>
    <w:p w14:paraId="6A10F345"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27518B8A"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b/>
          <w:bCs/>
          <w:color w:val="000000"/>
          <w:sz w:val="20"/>
          <w:szCs w:val="20"/>
        </w:rPr>
        <w:t>Sociedade empresária estrangeira:</w:t>
      </w:r>
      <w:r>
        <w:rPr>
          <w:rFonts w:ascii="Arial" w:eastAsia="Arial" w:hAnsi="Arial" w:cs="Arial"/>
          <w:color w:val="000000"/>
          <w:sz w:val="20"/>
          <w:szCs w:val="20"/>
        </w:rPr>
        <w:t xml:space="preserve"> 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29">
        <w:r w:rsidR="00276BB0">
          <w:rPr>
            <w:rFonts w:ascii="Arial" w:eastAsia="Arial" w:hAnsi="Arial" w:cs="Arial"/>
            <w:color w:val="000000"/>
            <w:sz w:val="20"/>
            <w:szCs w:val="20"/>
            <w:u w:val="single"/>
          </w:rPr>
          <w:t>Normativa DREI/ME n.º 77, de 18 de março de 2020</w:t>
        </w:r>
      </w:hyperlink>
      <w:r>
        <w:rPr>
          <w:rFonts w:ascii="Arial" w:eastAsia="Arial" w:hAnsi="Arial" w:cs="Arial"/>
          <w:color w:val="000000"/>
          <w:sz w:val="20"/>
          <w:szCs w:val="20"/>
        </w:rPr>
        <w:t>.</w:t>
      </w:r>
    </w:p>
    <w:p w14:paraId="7E62EF11"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b/>
          <w:bCs/>
          <w:color w:val="000000"/>
          <w:sz w:val="20"/>
          <w:szCs w:val="20"/>
        </w:rPr>
        <w:t xml:space="preserve">Sociedade simples: </w:t>
      </w:r>
      <w:r>
        <w:rPr>
          <w:rFonts w:ascii="Arial" w:eastAsia="Arial" w:hAnsi="Arial" w:cs="Arial"/>
          <w:color w:val="000000"/>
          <w:sz w:val="20"/>
          <w:szCs w:val="20"/>
        </w:rPr>
        <w:t>inscrição do ato constitutivo no Registro Civil de Pessoas Jurídicas do local de sua sede, acompanhada de documento comprobatório de seus administradores;</w:t>
      </w:r>
    </w:p>
    <w:p w14:paraId="347A5963"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bookmarkStart w:id="3" w:name="_heading=h.zd3etqldtukz" w:colFirst="0" w:colLast="0"/>
      <w:bookmarkEnd w:id="3"/>
      <w:r>
        <w:rPr>
          <w:rFonts w:ascii="Arial" w:eastAsia="Arial" w:hAnsi="Arial" w:cs="Arial"/>
          <w:b/>
          <w:bCs/>
          <w:color w:val="000000"/>
          <w:sz w:val="20"/>
          <w:szCs w:val="20"/>
        </w:rPr>
        <w:t>Filial, sucursal ou agência de sociedade simples ou empresária:</w:t>
      </w:r>
      <w:r>
        <w:rPr>
          <w:rFonts w:ascii="Arial" w:eastAsia="Arial" w:hAnsi="Arial" w:cs="Arial"/>
          <w:color w:val="000000"/>
          <w:sz w:val="20"/>
          <w:szCs w:val="20"/>
        </w:rPr>
        <w:t xml:space="preserve"> inscrição do ato constitutivo da filial, sucursal ou agência da sociedade simples ou empresária, respectivamente, no Registro Civil das Pessoas Jurídicas ou no Registro Público de Empresas Mercantis onde opera, com averbação no Registro onde tem sede a matriz</w:t>
      </w:r>
    </w:p>
    <w:p w14:paraId="54C3E855"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b/>
          <w:bCs/>
          <w:color w:val="000000"/>
          <w:sz w:val="20"/>
          <w:szCs w:val="20"/>
        </w:rPr>
        <w:lastRenderedPageBreak/>
        <w:t>Sociedade cooperativa:</w:t>
      </w:r>
      <w:r>
        <w:rPr>
          <w:rFonts w:ascii="Arial" w:eastAsia="Arial" w:hAnsi="Arial" w:cs="Arial"/>
          <w:color w:val="000000"/>
          <w:sz w:val="20"/>
          <w:szCs w:val="20"/>
        </w:rPr>
        <w:t xml:space="preserve"> ata de fundação e estatuto social, com a ata da assembleia que o aprovou, devidamente arquivado na Junta Comercial ou inscrito no Registro Civil das Pessoas Jurídicas da respectiva sede, além do registro de que trata o </w:t>
      </w:r>
      <w:hyperlink r:id="rId30" w:anchor="art107">
        <w:r w:rsidR="00276BB0">
          <w:rPr>
            <w:rFonts w:ascii="Arial" w:eastAsia="Arial" w:hAnsi="Arial" w:cs="Arial"/>
            <w:color w:val="000000"/>
            <w:sz w:val="20"/>
            <w:szCs w:val="20"/>
            <w:u w:val="single"/>
          </w:rPr>
          <w:t>art. 107 da Lei nº 5.764, de 16 de dezembro 1971</w:t>
        </w:r>
      </w:hyperlink>
      <w:r>
        <w:rPr>
          <w:rFonts w:ascii="Arial" w:eastAsia="Arial" w:hAnsi="Arial" w:cs="Arial"/>
          <w:color w:val="000000"/>
          <w:sz w:val="20"/>
          <w:szCs w:val="20"/>
        </w:rPr>
        <w:t>.</w:t>
      </w:r>
    </w:p>
    <w:p w14:paraId="7AB4D5A6"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b/>
          <w:bCs/>
          <w:color w:val="000000"/>
          <w:sz w:val="20"/>
          <w:szCs w:val="20"/>
        </w:rPr>
        <w:t>Agricultor familiar:</w:t>
      </w:r>
      <w:r>
        <w:rPr>
          <w:rFonts w:ascii="Arial" w:eastAsia="Arial" w:hAnsi="Arial" w:cs="Arial"/>
          <w:color w:val="000000"/>
          <w:sz w:val="20"/>
          <w:szCs w:val="20"/>
        </w:rPr>
        <w:t xml:space="preserve"> Declaração de Aptidão ao Pronaf – DAP ou DAP-P válida, ou, ainda, outros documentos definidos pela Secretaria Especial de Agricultura Familiar e do Desenvolvimento Agrário, nos termos do</w:t>
      </w:r>
      <w:hyperlink r:id="rId31" w:anchor="art4%C2%A72">
        <w:r w:rsidR="00276BB0">
          <w:rPr>
            <w:rFonts w:ascii="Arial" w:eastAsia="Arial" w:hAnsi="Arial" w:cs="Arial"/>
            <w:color w:val="000000"/>
            <w:sz w:val="20"/>
            <w:szCs w:val="20"/>
            <w:u w:val="single"/>
          </w:rPr>
          <w:t xml:space="preserve"> art. 4º, §2º do Decreto nº 10.880, de 2 de dezembro de 2021</w:t>
        </w:r>
      </w:hyperlink>
      <w:r>
        <w:rPr>
          <w:rFonts w:ascii="Arial" w:eastAsia="Arial" w:hAnsi="Arial" w:cs="Arial"/>
          <w:color w:val="000000"/>
          <w:sz w:val="20"/>
          <w:szCs w:val="20"/>
        </w:rPr>
        <w:t>.</w:t>
      </w:r>
    </w:p>
    <w:p w14:paraId="06753A2B"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b/>
          <w:bCs/>
          <w:color w:val="000000"/>
          <w:sz w:val="20"/>
          <w:szCs w:val="20"/>
        </w:rPr>
        <w:t>Produtor Rural:</w:t>
      </w:r>
      <w:r>
        <w:rPr>
          <w:rFonts w:ascii="Arial" w:eastAsia="Arial" w:hAnsi="Arial" w:cs="Arial"/>
          <w:color w:val="000000"/>
          <w:sz w:val="20"/>
          <w:szCs w:val="20"/>
        </w:rPr>
        <w:t xml:space="preserve"> matrícula no Cadastro Específico do INSS – CEI, que comprove a qualificação como produtor rural pessoa física, nos termos da </w:t>
      </w:r>
      <w:hyperlink r:id="rId32">
        <w:r w:rsidR="00276BB0">
          <w:rPr>
            <w:rFonts w:ascii="Arial" w:eastAsia="Arial" w:hAnsi="Arial" w:cs="Arial"/>
            <w:color w:val="000000"/>
            <w:sz w:val="20"/>
            <w:szCs w:val="20"/>
            <w:u w:val="single"/>
          </w:rPr>
          <w:t>Instrução Normativa RFB n. 971, de 13 de novembro de 2009</w:t>
        </w:r>
      </w:hyperlink>
      <w:r>
        <w:rPr>
          <w:rFonts w:ascii="Arial" w:eastAsia="Arial" w:hAnsi="Arial" w:cs="Arial"/>
          <w:color w:val="000000"/>
          <w:sz w:val="20"/>
          <w:szCs w:val="20"/>
        </w:rPr>
        <w:t xml:space="preserve"> (arts. 17 a 19 e 165).</w:t>
      </w:r>
    </w:p>
    <w:p w14:paraId="5A4536A5"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Os documentos apresentados deverão estar acompanhados de todas as alterações ou da consolidação respectiva.</w:t>
      </w:r>
    </w:p>
    <w:p w14:paraId="2C4E4C88" w14:textId="77777777" w:rsidR="00276BB0" w:rsidRDefault="00000000">
      <w:pPr>
        <w:keepNext/>
        <w:keepLines/>
        <w:widowControl/>
        <w:pBdr>
          <w:top w:val="nil"/>
          <w:left w:val="nil"/>
          <w:bottom w:val="nil"/>
          <w:right w:val="nil"/>
          <w:between w:val="nil"/>
        </w:pBdr>
        <w:tabs>
          <w:tab w:val="left" w:pos="567"/>
        </w:tabs>
        <w:spacing w:before="240" w:after="12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Habilitação fiscal, social e trabalhista</w:t>
      </w:r>
    </w:p>
    <w:p w14:paraId="52DAC928"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Prova de inscrição no Cadastro Nacional de Pessoas Jurídicas ou no Cadastro de Pessoas Físicas, conforme o caso;</w:t>
      </w:r>
    </w:p>
    <w:p w14:paraId="2E63F5E0"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4BDC4CE5"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Prova de regularidade com o Fundo de Garantia do Tempo de Serviço (FGTS);</w:t>
      </w:r>
    </w:p>
    <w:p w14:paraId="5D7EC1B6"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62DA38C2"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 xml:space="preserve">Prova de inscrição no cadastro de contribuintes Estadual/Distrital e Municipal/Distrital relativo ao domicílio ou sede do fornecedor, pertinente ao seu ramo de atividade e compatível com o objeto contratual; </w:t>
      </w:r>
    </w:p>
    <w:p w14:paraId="68C05BEA"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 xml:space="preserve">Prova de regularidade com a Fazenda Estadual/Distrital </w:t>
      </w:r>
      <w:r>
        <w:rPr>
          <w:rFonts w:ascii="Arial" w:eastAsia="Arial" w:hAnsi="Arial" w:cs="Arial"/>
          <w:strike/>
          <w:color w:val="000000"/>
          <w:sz w:val="20"/>
          <w:szCs w:val="20"/>
        </w:rPr>
        <w:t>ou Municipal/Distrital</w:t>
      </w:r>
      <w:r>
        <w:rPr>
          <w:rFonts w:ascii="Arial" w:eastAsia="Arial" w:hAnsi="Arial" w:cs="Arial"/>
          <w:color w:val="000000"/>
          <w:sz w:val="20"/>
          <w:szCs w:val="20"/>
        </w:rPr>
        <w:t xml:space="preserve"> do domicílio ou sede do fornecedor, relativa à atividade em cujo exercício contrata ou concorre;</w:t>
      </w:r>
    </w:p>
    <w:p w14:paraId="3693205C"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Caso o fornecedor seja considerado isento dos tributos Estadual/Distrital ou Municipal/Distrital relacionados ao objeto contratual, deverá comprovar tal condição mediante a apresentação de declaração da Fazenda respectiva do seu domicílio ou sede, ou outra equivalente, na forma da lei.</w:t>
      </w:r>
    </w:p>
    <w:p w14:paraId="454D4908"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O fornecedor enquadrado como microempreendedor individual que pretenda auferir os benefícios do tratamento diferenciado previstos na Lei Complementar n. 123, de 2006, estará dispensado da prova de inscrição nos cadastros de contribuintes estadual e municipal.</w:t>
      </w:r>
    </w:p>
    <w:p w14:paraId="40F7890E" w14:textId="77777777" w:rsidR="00276BB0" w:rsidRDefault="00000000">
      <w:pPr>
        <w:keepNext/>
        <w:keepLines/>
        <w:widowControl/>
        <w:pBdr>
          <w:top w:val="nil"/>
          <w:left w:val="nil"/>
          <w:bottom w:val="nil"/>
          <w:right w:val="nil"/>
          <w:between w:val="nil"/>
        </w:pBdr>
        <w:tabs>
          <w:tab w:val="left" w:pos="567"/>
        </w:tabs>
        <w:spacing w:before="240" w:after="12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Qualificação Econômico-Financeira</w:t>
      </w:r>
    </w:p>
    <w:p w14:paraId="7351AD0F"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Certidão negativa de insolvência civil expedida pelo distribuidor do domicílio ou sede do licitante, caso se trate de pessoa física, desde que admitida a sua participação na licitação (</w:t>
      </w:r>
      <w:hyperlink r:id="rId33" w:anchor="art5">
        <w:r w:rsidR="00276BB0">
          <w:rPr>
            <w:rFonts w:ascii="Arial" w:eastAsia="Arial" w:hAnsi="Arial" w:cs="Arial"/>
            <w:color w:val="000000"/>
            <w:sz w:val="20"/>
            <w:szCs w:val="20"/>
            <w:u w:val="single"/>
          </w:rPr>
          <w:t>art. 5º, inciso II, alínea “c”, da Instrução Normativa Seges/ME nº 116, de 2021</w:t>
        </w:r>
      </w:hyperlink>
      <w:r>
        <w:rPr>
          <w:rFonts w:ascii="Arial" w:eastAsia="Arial" w:hAnsi="Arial" w:cs="Arial"/>
          <w:color w:val="000000"/>
          <w:sz w:val="20"/>
          <w:szCs w:val="20"/>
        </w:rPr>
        <w:t xml:space="preserve">), ou de sociedade simples; </w:t>
      </w:r>
    </w:p>
    <w:p w14:paraId="1F690386"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 xml:space="preserve">Certidão negativa de falência expedida pelo distribuidor da sede do fornecedor - </w:t>
      </w:r>
      <w:hyperlink r:id="rId34" w:anchor="art69">
        <w:r w:rsidR="00276BB0">
          <w:rPr>
            <w:rFonts w:ascii="Arial" w:eastAsia="Arial" w:hAnsi="Arial" w:cs="Arial"/>
            <w:color w:val="000000"/>
            <w:sz w:val="20"/>
            <w:szCs w:val="20"/>
            <w:u w:val="single"/>
          </w:rPr>
          <w:t>Lei nº 14.133, de 2021, art. 69, caput, inciso II</w:t>
        </w:r>
      </w:hyperlink>
      <w:r>
        <w:rPr>
          <w:rFonts w:ascii="Arial" w:eastAsia="Arial" w:hAnsi="Arial" w:cs="Arial"/>
          <w:color w:val="000000"/>
          <w:sz w:val="20"/>
          <w:szCs w:val="20"/>
        </w:rPr>
        <w:t>);</w:t>
      </w:r>
    </w:p>
    <w:p w14:paraId="1AB8F4E3"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Balanço patrimonial, demonstração de resultado de exercício e demais demonstrações contábeis dos 2 (dois) últimos exercícios sociais, comprovando;</w:t>
      </w:r>
    </w:p>
    <w:p w14:paraId="44976DB3" w14:textId="77777777" w:rsidR="00276BB0" w:rsidRDefault="00000000">
      <w:pPr>
        <w:widowControl/>
        <w:numPr>
          <w:ilvl w:val="2"/>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lastRenderedPageBreak/>
        <w:t>índices de Liquidez Geral (LG), Liquidez Corrente (LC), e Solvência Geral (SG) superiores a 1 (um);</w:t>
      </w:r>
    </w:p>
    <w:p w14:paraId="00583F94" w14:textId="77777777" w:rsidR="00276BB0" w:rsidRDefault="00000000">
      <w:pPr>
        <w:widowControl/>
        <w:numPr>
          <w:ilvl w:val="2"/>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As empresas criadas no exercício financeiro da licitação deverão atender a todas as exigências da habilitação e poderão substituir os demonstrativos contábeis pelo balanço de abertura.</w:t>
      </w:r>
    </w:p>
    <w:p w14:paraId="548BB22F" w14:textId="77777777" w:rsidR="00276BB0" w:rsidRDefault="00000000">
      <w:pPr>
        <w:widowControl/>
        <w:numPr>
          <w:ilvl w:val="2"/>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Os documentos referidos acima limitar-se-ão ao último exercício no caso de a pessoa jurídica ter sido constituída há menos de 2 (dois) anos;</w:t>
      </w:r>
    </w:p>
    <w:p w14:paraId="0E3F8F5E" w14:textId="77777777" w:rsidR="00276BB0" w:rsidRDefault="00000000">
      <w:pPr>
        <w:widowControl/>
        <w:numPr>
          <w:ilvl w:val="2"/>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Os documentos referidos acima deverão ser exigidos com base no limite definido pela Receita Federal do Brasil para transmissão da Escrituração Contábil Digital - ECD ao Sped.</w:t>
      </w:r>
    </w:p>
    <w:p w14:paraId="376BC64A"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Caso a empresa licitante apresente resultado inferior ou igual a 1 (um) em qualquer dos índices de Liquidez Geral (LG), Solvência Geral (SG) e Liquidez Corrente (LC), será exigido para fins de habilitação capital mínimo de 1% do valor total estimado da parcela pertinente.</w:t>
      </w:r>
    </w:p>
    <w:p w14:paraId="3CA2E71D"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As empresas criadas no exercício financeiro da licitação deverão atender a todas as exigências da habilitação e poderão substituir os demonstrativos contábeis pelo balanço de abertura. (Lei nº 14.133, de 2021, art. 65, §1º).</w:t>
      </w:r>
    </w:p>
    <w:p w14:paraId="50892265"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O atendimento dos índices econômicos previstos neste item deverá ser atestado mediante declaração assinada por profissional habilitado da área contábil, apresentada pelo fornecedor.</w:t>
      </w:r>
    </w:p>
    <w:p w14:paraId="37F954E2" w14:textId="77777777" w:rsidR="00276BB0" w:rsidRDefault="00000000">
      <w:pPr>
        <w:keepNext/>
        <w:keepLines/>
        <w:widowControl/>
        <w:pBdr>
          <w:top w:val="nil"/>
          <w:left w:val="nil"/>
          <w:bottom w:val="nil"/>
          <w:right w:val="nil"/>
          <w:between w:val="nil"/>
        </w:pBdr>
        <w:tabs>
          <w:tab w:val="left" w:pos="567"/>
        </w:tabs>
        <w:spacing w:before="240" w:after="120" w:line="276" w:lineRule="auto"/>
        <w:jc w:val="both"/>
        <w:rPr>
          <w:rFonts w:ascii="Arial" w:eastAsia="Arial" w:hAnsi="Arial" w:cs="Arial"/>
          <w:b/>
          <w:bCs/>
          <w:color w:val="000000"/>
          <w:sz w:val="20"/>
          <w:szCs w:val="20"/>
        </w:rPr>
      </w:pPr>
      <w:r>
        <w:rPr>
          <w:rFonts w:ascii="Arial" w:eastAsia="Arial" w:hAnsi="Arial" w:cs="Arial"/>
          <w:b/>
          <w:bCs/>
          <w:color w:val="000000"/>
          <w:sz w:val="20"/>
          <w:szCs w:val="20"/>
        </w:rPr>
        <w:t>Qualificação Técnica</w:t>
      </w:r>
    </w:p>
    <w:p w14:paraId="733A33EC"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Comprovação de aptidão para o fornecimento de bens similares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p>
    <w:p w14:paraId="1AE6CC10"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Caso admitida a participação de cooperativas, será exigida a seguinte documentação complementar:</w:t>
      </w:r>
    </w:p>
    <w:p w14:paraId="232F47DF" w14:textId="77777777" w:rsidR="00276BB0" w:rsidRDefault="00000000">
      <w:pPr>
        <w:widowControl/>
        <w:numPr>
          <w:ilvl w:val="2"/>
          <w:numId w:val="2"/>
        </w:numPr>
        <w:pBdr>
          <w:top w:val="nil"/>
          <w:left w:val="nil"/>
          <w:bottom w:val="nil"/>
          <w:right w:val="nil"/>
          <w:between w:val="nil"/>
        </w:pBdr>
        <w:spacing w:before="120" w:after="120" w:line="276" w:lineRule="auto"/>
        <w:ind w:left="1985"/>
        <w:jc w:val="both"/>
        <w:rPr>
          <w:rFonts w:ascii="Arial" w:eastAsia="Arial" w:hAnsi="Arial" w:cs="Arial"/>
          <w:color w:val="000000"/>
          <w:sz w:val="20"/>
          <w:szCs w:val="20"/>
        </w:rPr>
      </w:pPr>
      <w:r>
        <w:rPr>
          <w:rFonts w:ascii="Arial" w:eastAsia="Arial" w:hAnsi="Arial" w:cs="Arial"/>
          <w:color w:val="000000"/>
          <w:sz w:val="20"/>
          <w:szCs w:val="20"/>
        </w:rPr>
        <w:t xml:space="preserve">A relação dos cooperados que atendem aos requisitos técnicos exigidos para a contratação e que executarão o contrato, com as respectivas atas de inscrição e a comprovação de que estão domiciliados na localidade da sede da cooperativa, respeitado o disposto nos </w:t>
      </w:r>
      <w:hyperlink r:id="rId35" w:anchor="art4">
        <w:r w:rsidR="00276BB0">
          <w:rPr>
            <w:rFonts w:ascii="Arial" w:eastAsia="Arial" w:hAnsi="Arial" w:cs="Arial"/>
            <w:color w:val="000000"/>
            <w:sz w:val="20"/>
            <w:szCs w:val="20"/>
            <w:u w:val="single"/>
          </w:rPr>
          <w:t>arts. 4º, inciso XI, 21, inciso I</w:t>
        </w:r>
      </w:hyperlink>
      <w:r>
        <w:rPr>
          <w:rFonts w:ascii="Arial" w:eastAsia="Arial" w:hAnsi="Arial" w:cs="Arial"/>
          <w:color w:val="000000"/>
          <w:sz w:val="20"/>
          <w:szCs w:val="20"/>
        </w:rPr>
        <w:t xml:space="preserve"> e </w:t>
      </w:r>
      <w:hyperlink r:id="rId36" w:anchor="art42">
        <w:r w:rsidR="00276BB0">
          <w:rPr>
            <w:rFonts w:ascii="Arial" w:eastAsia="Arial" w:hAnsi="Arial" w:cs="Arial"/>
            <w:color w:val="000000"/>
            <w:sz w:val="20"/>
            <w:szCs w:val="20"/>
            <w:u w:val="single"/>
          </w:rPr>
          <w:t>42, §§2º a 6º da Lei n. 5.764, de 1971</w:t>
        </w:r>
      </w:hyperlink>
      <w:r>
        <w:rPr>
          <w:rFonts w:ascii="Arial" w:eastAsia="Arial" w:hAnsi="Arial" w:cs="Arial"/>
          <w:color w:val="000000"/>
          <w:sz w:val="20"/>
          <w:szCs w:val="20"/>
        </w:rPr>
        <w:t>;</w:t>
      </w:r>
    </w:p>
    <w:p w14:paraId="67E5097B" w14:textId="77777777" w:rsidR="00276BB0" w:rsidRDefault="00000000">
      <w:pPr>
        <w:widowControl/>
        <w:numPr>
          <w:ilvl w:val="2"/>
          <w:numId w:val="2"/>
        </w:numPr>
        <w:pBdr>
          <w:top w:val="nil"/>
          <w:left w:val="nil"/>
          <w:bottom w:val="nil"/>
          <w:right w:val="nil"/>
          <w:between w:val="nil"/>
        </w:pBdr>
        <w:spacing w:before="120" w:after="120" w:line="276" w:lineRule="auto"/>
        <w:ind w:left="1985"/>
        <w:jc w:val="both"/>
        <w:rPr>
          <w:rFonts w:ascii="Arial" w:eastAsia="Arial" w:hAnsi="Arial" w:cs="Arial"/>
          <w:color w:val="000000"/>
          <w:sz w:val="20"/>
          <w:szCs w:val="20"/>
        </w:rPr>
      </w:pPr>
      <w:r>
        <w:rPr>
          <w:rFonts w:ascii="Arial" w:eastAsia="Arial" w:hAnsi="Arial" w:cs="Arial"/>
          <w:color w:val="000000"/>
          <w:sz w:val="20"/>
          <w:szCs w:val="20"/>
        </w:rPr>
        <w:t>A declaração de regularidade de situação do contribuinte individual – DRSCI, para cada um dos cooperados indicados;</w:t>
      </w:r>
    </w:p>
    <w:p w14:paraId="58A99ADC" w14:textId="77777777" w:rsidR="00276BB0" w:rsidRDefault="00000000">
      <w:pPr>
        <w:widowControl/>
        <w:numPr>
          <w:ilvl w:val="2"/>
          <w:numId w:val="2"/>
        </w:numPr>
        <w:pBdr>
          <w:top w:val="nil"/>
          <w:left w:val="nil"/>
          <w:bottom w:val="nil"/>
          <w:right w:val="nil"/>
          <w:between w:val="nil"/>
        </w:pBdr>
        <w:spacing w:before="120" w:after="120" w:line="276" w:lineRule="auto"/>
        <w:ind w:left="1985"/>
        <w:jc w:val="both"/>
        <w:rPr>
          <w:rFonts w:ascii="Arial" w:eastAsia="Arial" w:hAnsi="Arial" w:cs="Arial"/>
          <w:color w:val="000000"/>
          <w:sz w:val="20"/>
          <w:szCs w:val="20"/>
        </w:rPr>
      </w:pPr>
      <w:r>
        <w:rPr>
          <w:rFonts w:ascii="Arial" w:eastAsia="Arial" w:hAnsi="Arial" w:cs="Arial"/>
          <w:color w:val="000000"/>
          <w:sz w:val="20"/>
          <w:szCs w:val="20"/>
        </w:rPr>
        <w:t xml:space="preserve">A comprovação do capital social proporcional ao número de cooperados necessários à execução contratual; </w:t>
      </w:r>
    </w:p>
    <w:p w14:paraId="7DA6C854" w14:textId="77777777" w:rsidR="00276BB0" w:rsidRDefault="00000000">
      <w:pPr>
        <w:widowControl/>
        <w:numPr>
          <w:ilvl w:val="2"/>
          <w:numId w:val="2"/>
        </w:numPr>
        <w:pBdr>
          <w:top w:val="nil"/>
          <w:left w:val="nil"/>
          <w:bottom w:val="nil"/>
          <w:right w:val="nil"/>
          <w:between w:val="nil"/>
        </w:pBdr>
        <w:spacing w:before="120" w:after="120" w:line="276" w:lineRule="auto"/>
        <w:ind w:left="1985"/>
        <w:jc w:val="both"/>
        <w:rPr>
          <w:rFonts w:ascii="Arial" w:eastAsia="Arial" w:hAnsi="Arial" w:cs="Arial"/>
          <w:color w:val="000000"/>
          <w:sz w:val="20"/>
          <w:szCs w:val="20"/>
        </w:rPr>
      </w:pPr>
      <w:r>
        <w:rPr>
          <w:rFonts w:ascii="Arial" w:eastAsia="Arial" w:hAnsi="Arial" w:cs="Arial"/>
          <w:color w:val="000000"/>
          <w:sz w:val="20"/>
          <w:szCs w:val="20"/>
        </w:rPr>
        <w:t xml:space="preserve">O registro previsto na </w:t>
      </w:r>
      <w:hyperlink r:id="rId37" w:anchor="art107">
        <w:r w:rsidR="00276BB0">
          <w:rPr>
            <w:rFonts w:ascii="Arial" w:eastAsia="Arial" w:hAnsi="Arial" w:cs="Arial"/>
            <w:color w:val="000000"/>
            <w:sz w:val="20"/>
            <w:szCs w:val="20"/>
            <w:u w:val="single"/>
          </w:rPr>
          <w:t>Lei n. 5.764, de 1971, art. 107</w:t>
        </w:r>
      </w:hyperlink>
      <w:r>
        <w:rPr>
          <w:rFonts w:ascii="Arial" w:eastAsia="Arial" w:hAnsi="Arial" w:cs="Arial"/>
          <w:color w:val="000000"/>
          <w:sz w:val="20"/>
          <w:szCs w:val="20"/>
        </w:rPr>
        <w:t>;</w:t>
      </w:r>
    </w:p>
    <w:p w14:paraId="026039A0" w14:textId="77777777" w:rsidR="00276BB0" w:rsidRDefault="00000000">
      <w:pPr>
        <w:widowControl/>
        <w:numPr>
          <w:ilvl w:val="2"/>
          <w:numId w:val="2"/>
        </w:numPr>
        <w:pBdr>
          <w:top w:val="nil"/>
          <w:left w:val="nil"/>
          <w:bottom w:val="nil"/>
          <w:right w:val="nil"/>
          <w:between w:val="nil"/>
        </w:pBdr>
        <w:spacing w:before="120" w:after="120" w:line="276" w:lineRule="auto"/>
        <w:ind w:left="1985"/>
        <w:jc w:val="both"/>
        <w:rPr>
          <w:rFonts w:ascii="Arial" w:eastAsia="Arial" w:hAnsi="Arial" w:cs="Arial"/>
          <w:color w:val="000000"/>
          <w:sz w:val="20"/>
          <w:szCs w:val="20"/>
        </w:rPr>
      </w:pPr>
      <w:r>
        <w:rPr>
          <w:rFonts w:ascii="Arial" w:eastAsia="Arial" w:hAnsi="Arial" w:cs="Arial"/>
          <w:color w:val="000000"/>
          <w:sz w:val="20"/>
          <w:szCs w:val="20"/>
        </w:rPr>
        <w:t xml:space="preserve"> A comprovação de integração das respectivas quotas-partes por parte dos cooperados que executarão o contrato; e</w:t>
      </w:r>
    </w:p>
    <w:p w14:paraId="408F7363" w14:textId="77777777" w:rsidR="00276BB0" w:rsidRDefault="00000000">
      <w:pPr>
        <w:widowControl/>
        <w:numPr>
          <w:ilvl w:val="2"/>
          <w:numId w:val="2"/>
        </w:numPr>
        <w:pBdr>
          <w:top w:val="nil"/>
          <w:left w:val="nil"/>
          <w:bottom w:val="nil"/>
          <w:right w:val="nil"/>
          <w:between w:val="nil"/>
        </w:pBdr>
        <w:spacing w:before="120" w:after="120" w:line="276" w:lineRule="auto"/>
        <w:ind w:left="1985"/>
        <w:jc w:val="both"/>
        <w:rPr>
          <w:rFonts w:ascii="Arial" w:eastAsia="Arial" w:hAnsi="Arial" w:cs="Arial"/>
          <w:color w:val="000000"/>
          <w:sz w:val="20"/>
          <w:szCs w:val="20"/>
        </w:rPr>
      </w:pPr>
      <w:r>
        <w:rPr>
          <w:rFonts w:ascii="Arial" w:eastAsia="Arial" w:hAnsi="Arial" w:cs="Arial"/>
          <w:color w:val="000000"/>
          <w:sz w:val="20"/>
          <w:szCs w:val="20"/>
        </w:rPr>
        <w:t xml:space="preserve"> 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w:t>
      </w:r>
    </w:p>
    <w:p w14:paraId="5A4A62A6" w14:textId="77777777" w:rsidR="00276BB0" w:rsidRDefault="00000000">
      <w:pPr>
        <w:numPr>
          <w:ilvl w:val="0"/>
          <w:numId w:val="2"/>
        </w:numPr>
        <w:shd w:val="clear" w:color="auto" w:fill="BFBFBF"/>
        <w:tabs>
          <w:tab w:val="left" w:pos="720"/>
        </w:tabs>
        <w:spacing w:before="283" w:after="283" w:line="240" w:lineRule="auto"/>
        <w:ind w:right="-30"/>
        <w:jc w:val="both"/>
        <w:rPr>
          <w:rFonts w:ascii="Arial" w:eastAsia="Arial" w:hAnsi="Arial" w:cs="Arial"/>
          <w:color w:val="000000"/>
          <w:sz w:val="20"/>
          <w:szCs w:val="20"/>
        </w:rPr>
      </w:pPr>
      <w:r>
        <w:rPr>
          <w:rFonts w:ascii="Arial" w:eastAsia="Arial" w:hAnsi="Arial" w:cs="Arial"/>
          <w:b/>
          <w:bCs/>
          <w:color w:val="000000"/>
          <w:sz w:val="20"/>
          <w:szCs w:val="20"/>
        </w:rPr>
        <w:t xml:space="preserve">ESTIMATIVAS DO VALOR DA CONTRATAÇÃO </w:t>
      </w:r>
    </w:p>
    <w:p w14:paraId="72B7684C"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b/>
          <w:bCs/>
          <w:color w:val="000000"/>
          <w:sz w:val="20"/>
          <w:szCs w:val="20"/>
        </w:rPr>
      </w:pPr>
      <w:r>
        <w:rPr>
          <w:rFonts w:ascii="Arial" w:eastAsia="Arial" w:hAnsi="Arial" w:cs="Arial"/>
          <w:color w:val="000000"/>
          <w:sz w:val="20"/>
          <w:szCs w:val="20"/>
        </w:rPr>
        <w:lastRenderedPageBreak/>
        <w:t>O custo estimado total da contratação é o estabelecido no item 1, conforme custos unitários apostos na tabela.</w:t>
      </w:r>
    </w:p>
    <w:p w14:paraId="01291E54" w14:textId="77777777" w:rsidR="00276BB0" w:rsidRDefault="00000000">
      <w:pPr>
        <w:widowControl/>
        <w:numPr>
          <w:ilvl w:val="1"/>
          <w:numId w:val="2"/>
        </w:numPr>
        <w:pBdr>
          <w:top w:val="nil"/>
          <w:left w:val="nil"/>
          <w:bottom w:val="nil"/>
          <w:right w:val="nil"/>
          <w:between w:val="nil"/>
        </w:pBdr>
        <w:spacing w:before="120" w:after="120" w:line="276" w:lineRule="auto"/>
        <w:ind w:left="993"/>
        <w:jc w:val="both"/>
        <w:rPr>
          <w:rFonts w:ascii="Arial" w:eastAsia="Arial" w:hAnsi="Arial" w:cs="Arial"/>
          <w:color w:val="000000"/>
          <w:sz w:val="20"/>
          <w:szCs w:val="20"/>
        </w:rPr>
      </w:pPr>
      <w:r>
        <w:rPr>
          <w:rFonts w:ascii="Arial" w:eastAsia="Arial" w:hAnsi="Arial" w:cs="Arial"/>
          <w:color w:val="000000"/>
          <w:sz w:val="20"/>
          <w:szCs w:val="20"/>
        </w:rPr>
        <w:t>Em caso de licitação para Registro de Preços, os preços registrados poderão ser alterados ou atualizados em decorrência de eventual redução dos preços praticados no mercado ou de fato que eleve o custo dos bens, das obras ou dos serviços registrados, nas seguintes situações:</w:t>
      </w:r>
    </w:p>
    <w:p w14:paraId="217D3397" w14:textId="77777777" w:rsidR="00276BB0" w:rsidRDefault="00000000">
      <w:pPr>
        <w:numPr>
          <w:ilvl w:val="0"/>
          <w:numId w:val="2"/>
        </w:numPr>
        <w:shd w:val="clear" w:color="auto" w:fill="BFBFBF"/>
        <w:tabs>
          <w:tab w:val="left" w:pos="720"/>
        </w:tabs>
        <w:spacing w:before="283" w:after="283" w:line="240" w:lineRule="auto"/>
        <w:ind w:right="-30"/>
        <w:jc w:val="both"/>
        <w:rPr>
          <w:rFonts w:ascii="Arial" w:eastAsia="Arial" w:hAnsi="Arial" w:cs="Arial"/>
          <w:b/>
          <w:bCs/>
          <w:color w:val="000000"/>
          <w:sz w:val="20"/>
          <w:szCs w:val="20"/>
        </w:rPr>
      </w:pPr>
      <w:r>
        <w:rPr>
          <w:rFonts w:ascii="Arial" w:eastAsia="Arial" w:hAnsi="Arial" w:cs="Arial"/>
          <w:b/>
          <w:bCs/>
          <w:color w:val="000000"/>
          <w:sz w:val="20"/>
          <w:szCs w:val="20"/>
        </w:rPr>
        <w:t>ADEQUAÇÃO ORÇAMENTÁRIA</w:t>
      </w:r>
    </w:p>
    <w:p w14:paraId="5B30EEBD" w14:textId="77777777" w:rsidR="00276BB0" w:rsidRDefault="00000000">
      <w:pPr>
        <w:numPr>
          <w:ilvl w:val="1"/>
          <w:numId w:val="2"/>
        </w:numPr>
        <w:tabs>
          <w:tab w:val="left" w:pos="426"/>
        </w:tabs>
        <w:spacing w:before="119" w:after="0" w:line="240" w:lineRule="auto"/>
        <w:ind w:left="993" w:right="-30"/>
        <w:jc w:val="both"/>
        <w:rPr>
          <w:rFonts w:ascii="Arial" w:eastAsia="Arial" w:hAnsi="Arial" w:cs="Arial"/>
          <w:color w:val="000000"/>
          <w:sz w:val="20"/>
          <w:szCs w:val="20"/>
        </w:rPr>
      </w:pPr>
      <w:r>
        <w:rPr>
          <w:rFonts w:ascii="Arial" w:eastAsia="Arial" w:hAnsi="Arial" w:cs="Arial"/>
          <w:color w:val="000000"/>
          <w:sz w:val="20"/>
          <w:szCs w:val="20"/>
        </w:rPr>
        <w:t>As despesas decorrentes da presente contratação correrão à conta de recursos específicos consignados no Orçamento Geral.</w:t>
      </w:r>
    </w:p>
    <w:p w14:paraId="7F43A78E" w14:textId="77777777" w:rsidR="00276BB0" w:rsidRDefault="00276BB0">
      <w:pPr>
        <w:tabs>
          <w:tab w:val="left" w:pos="426"/>
        </w:tabs>
        <w:spacing w:before="119" w:after="0" w:line="240" w:lineRule="auto"/>
        <w:ind w:left="993" w:right="-30"/>
        <w:jc w:val="both"/>
        <w:rPr>
          <w:rFonts w:ascii="Arial" w:eastAsia="Arial" w:hAnsi="Arial" w:cs="Arial"/>
          <w:strike/>
          <w:color w:val="FF0000"/>
          <w:sz w:val="20"/>
          <w:szCs w:val="20"/>
        </w:rPr>
      </w:pPr>
    </w:p>
    <w:p w14:paraId="617FE17A" w14:textId="77777777" w:rsidR="00276BB0" w:rsidRDefault="00276BB0">
      <w:pPr>
        <w:jc w:val="right"/>
        <w:rPr>
          <w:rFonts w:ascii="Arial" w:eastAsia="Arial" w:hAnsi="Arial" w:cs="Arial"/>
          <w:sz w:val="24"/>
          <w:szCs w:val="24"/>
        </w:rPr>
      </w:pPr>
    </w:p>
    <w:p w14:paraId="01F9FEEF" w14:textId="1DA4F06A" w:rsidR="00276BB0" w:rsidRDefault="00000000">
      <w:pPr>
        <w:jc w:val="right"/>
        <w:rPr>
          <w:rFonts w:ascii="Arial" w:eastAsia="Arial" w:hAnsi="Arial" w:cs="Arial"/>
          <w:sz w:val="20"/>
          <w:szCs w:val="20"/>
        </w:rPr>
      </w:pPr>
      <w:r>
        <w:rPr>
          <w:rFonts w:ascii="Arial" w:eastAsia="Arial" w:hAnsi="Arial" w:cs="Arial"/>
          <w:sz w:val="20"/>
          <w:szCs w:val="20"/>
        </w:rPr>
        <w:t xml:space="preserve">Belo Jardim- PE, </w:t>
      </w:r>
      <w:r w:rsidR="00777B9D">
        <w:rPr>
          <w:rFonts w:ascii="Arial" w:eastAsia="Arial" w:hAnsi="Arial" w:cs="Arial"/>
          <w:sz w:val="20"/>
          <w:szCs w:val="20"/>
        </w:rPr>
        <w:t>27</w:t>
      </w:r>
      <w:r w:rsidR="007560B6">
        <w:rPr>
          <w:rFonts w:ascii="Arial" w:eastAsia="Arial" w:hAnsi="Arial" w:cs="Arial"/>
          <w:sz w:val="20"/>
          <w:szCs w:val="20"/>
        </w:rPr>
        <w:t xml:space="preserve"> </w:t>
      </w:r>
      <w:r>
        <w:rPr>
          <w:rFonts w:ascii="Arial" w:eastAsia="Arial" w:hAnsi="Arial" w:cs="Arial"/>
          <w:sz w:val="20"/>
          <w:szCs w:val="20"/>
        </w:rPr>
        <w:t>de Abril de 2026.</w:t>
      </w:r>
    </w:p>
    <w:p w14:paraId="6EB5C2BB" w14:textId="77777777" w:rsidR="00276BB0" w:rsidRDefault="00276BB0">
      <w:pPr>
        <w:rPr>
          <w:rFonts w:ascii="Arial" w:eastAsia="Arial" w:hAnsi="Arial" w:cs="Arial"/>
          <w:sz w:val="20"/>
          <w:szCs w:val="20"/>
        </w:rPr>
      </w:pPr>
    </w:p>
    <w:p w14:paraId="4DFC6AB5" w14:textId="77777777" w:rsidR="00276BB0" w:rsidRDefault="00276BB0">
      <w:pPr>
        <w:jc w:val="right"/>
        <w:rPr>
          <w:rFonts w:ascii="Arial" w:eastAsia="Arial" w:hAnsi="Arial" w:cs="Arial"/>
          <w:sz w:val="20"/>
          <w:szCs w:val="20"/>
        </w:rPr>
      </w:pPr>
    </w:p>
    <w:p w14:paraId="67968C60" w14:textId="77777777" w:rsidR="00276BB0" w:rsidRDefault="00000000">
      <w:pPr>
        <w:widowControl/>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_____________________________________</w:t>
      </w:r>
    </w:p>
    <w:p w14:paraId="15942AED" w14:textId="77777777" w:rsidR="00276BB0" w:rsidRDefault="00000000">
      <w:pPr>
        <w:spacing w:after="0"/>
        <w:jc w:val="center"/>
        <w:rPr>
          <w:rFonts w:ascii="Arial" w:eastAsia="Arial" w:hAnsi="Arial" w:cs="Arial"/>
          <w:b/>
          <w:bCs/>
          <w:sz w:val="20"/>
          <w:szCs w:val="20"/>
        </w:rPr>
      </w:pPr>
      <w:r>
        <w:rPr>
          <w:rFonts w:ascii="Arial" w:eastAsia="Arial" w:hAnsi="Arial" w:cs="Arial"/>
          <w:b/>
          <w:bCs/>
          <w:sz w:val="20"/>
          <w:szCs w:val="20"/>
        </w:rPr>
        <w:t xml:space="preserve">LUAN DE OLIVEIRA LIMA </w:t>
      </w:r>
    </w:p>
    <w:p w14:paraId="703F76B9" w14:textId="77777777" w:rsidR="00276BB0" w:rsidRDefault="00000000">
      <w:pPr>
        <w:spacing w:after="0"/>
        <w:jc w:val="center"/>
        <w:rPr>
          <w:rFonts w:ascii="Arial" w:eastAsia="Arial" w:hAnsi="Arial" w:cs="Arial"/>
          <w:color w:val="000000"/>
          <w:sz w:val="20"/>
          <w:szCs w:val="20"/>
        </w:rPr>
      </w:pPr>
      <w:r>
        <w:rPr>
          <w:rFonts w:ascii="Arial" w:eastAsia="Arial" w:hAnsi="Arial" w:cs="Arial"/>
          <w:sz w:val="20"/>
          <w:szCs w:val="20"/>
        </w:rPr>
        <w:t>Setor de informática</w:t>
      </w:r>
    </w:p>
    <w:p w14:paraId="4DBA92FD" w14:textId="77777777" w:rsidR="00276BB0" w:rsidRDefault="00276BB0">
      <w:pPr>
        <w:widowControl/>
        <w:pBdr>
          <w:top w:val="nil"/>
          <w:left w:val="nil"/>
          <w:bottom w:val="nil"/>
          <w:right w:val="nil"/>
          <w:between w:val="nil"/>
        </w:pBdr>
        <w:spacing w:after="0" w:line="240" w:lineRule="auto"/>
        <w:jc w:val="center"/>
        <w:rPr>
          <w:rFonts w:ascii="Arial" w:eastAsia="Arial" w:hAnsi="Arial" w:cs="Arial"/>
          <w:b/>
          <w:bCs/>
          <w:color w:val="000000"/>
          <w:sz w:val="20"/>
          <w:szCs w:val="20"/>
        </w:rPr>
      </w:pPr>
    </w:p>
    <w:p w14:paraId="09A5D073" w14:textId="77777777" w:rsidR="00276BB0" w:rsidRDefault="00276BB0">
      <w:pPr>
        <w:widowControl/>
        <w:pBdr>
          <w:top w:val="nil"/>
          <w:left w:val="nil"/>
          <w:bottom w:val="nil"/>
          <w:right w:val="nil"/>
          <w:between w:val="nil"/>
        </w:pBdr>
        <w:spacing w:after="0" w:line="240" w:lineRule="auto"/>
        <w:jc w:val="center"/>
        <w:rPr>
          <w:rFonts w:ascii="Arial" w:eastAsia="Arial" w:hAnsi="Arial" w:cs="Arial"/>
          <w:b/>
          <w:bCs/>
          <w:color w:val="000000"/>
          <w:sz w:val="20"/>
          <w:szCs w:val="20"/>
        </w:rPr>
      </w:pPr>
    </w:p>
    <w:p w14:paraId="393A8BC4" w14:textId="77777777" w:rsidR="00276BB0" w:rsidRDefault="00276BB0">
      <w:pPr>
        <w:widowControl/>
        <w:pBdr>
          <w:top w:val="nil"/>
          <w:left w:val="nil"/>
          <w:bottom w:val="nil"/>
          <w:right w:val="nil"/>
          <w:between w:val="nil"/>
        </w:pBdr>
        <w:spacing w:after="0" w:line="240" w:lineRule="auto"/>
        <w:jc w:val="center"/>
        <w:rPr>
          <w:rFonts w:ascii="Arial" w:eastAsia="Arial" w:hAnsi="Arial" w:cs="Arial"/>
          <w:b/>
          <w:bCs/>
          <w:color w:val="000000"/>
          <w:sz w:val="20"/>
          <w:szCs w:val="20"/>
        </w:rPr>
      </w:pPr>
    </w:p>
    <w:p w14:paraId="1610BCB1" w14:textId="77777777" w:rsidR="00276BB0" w:rsidRDefault="00000000">
      <w:pPr>
        <w:widowControl/>
        <w:pBdr>
          <w:top w:val="nil"/>
          <w:left w:val="nil"/>
          <w:bottom w:val="nil"/>
          <w:right w:val="nil"/>
          <w:between w:val="nil"/>
        </w:pBdr>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_____________________________________</w:t>
      </w:r>
    </w:p>
    <w:p w14:paraId="1B2387A7" w14:textId="77777777" w:rsidR="00276BB0" w:rsidRDefault="00000000">
      <w:pPr>
        <w:spacing w:after="0"/>
        <w:jc w:val="center"/>
        <w:rPr>
          <w:rFonts w:ascii="Arial" w:eastAsia="Arial" w:hAnsi="Arial" w:cs="Arial"/>
          <w:b/>
          <w:bCs/>
          <w:color w:val="000000"/>
          <w:sz w:val="20"/>
          <w:szCs w:val="20"/>
        </w:rPr>
      </w:pPr>
      <w:r>
        <w:rPr>
          <w:rFonts w:ascii="Arial" w:eastAsia="Arial" w:hAnsi="Arial" w:cs="Arial"/>
          <w:b/>
          <w:bCs/>
          <w:color w:val="000000"/>
          <w:sz w:val="20"/>
          <w:szCs w:val="20"/>
        </w:rPr>
        <w:t>ANTONIO HENRIQUE HABIB CARVALHO</w:t>
      </w:r>
    </w:p>
    <w:p w14:paraId="3D17D1BB" w14:textId="77777777" w:rsidR="00276BB0" w:rsidRDefault="00000000">
      <w:pPr>
        <w:spacing w:after="0"/>
        <w:jc w:val="center"/>
        <w:rPr>
          <w:rFonts w:ascii="Arial" w:eastAsia="Arial" w:hAnsi="Arial" w:cs="Arial"/>
          <w:color w:val="000000"/>
          <w:sz w:val="20"/>
          <w:szCs w:val="20"/>
        </w:rPr>
      </w:pPr>
      <w:r>
        <w:rPr>
          <w:rFonts w:ascii="Arial" w:eastAsia="Arial" w:hAnsi="Arial" w:cs="Arial"/>
          <w:color w:val="000000"/>
          <w:sz w:val="20"/>
          <w:szCs w:val="20"/>
        </w:rPr>
        <w:t>Diretor – Presidente da AEB</w:t>
      </w:r>
    </w:p>
    <w:p w14:paraId="55D5D863" w14:textId="77777777" w:rsidR="00276BB0" w:rsidRDefault="00276BB0">
      <w:pPr>
        <w:spacing w:after="0"/>
        <w:jc w:val="center"/>
        <w:rPr>
          <w:rFonts w:ascii="Arial" w:eastAsia="Arial" w:hAnsi="Arial" w:cs="Arial"/>
          <w:color w:val="000000"/>
          <w:sz w:val="20"/>
          <w:szCs w:val="20"/>
        </w:rPr>
      </w:pPr>
    </w:p>
    <w:p w14:paraId="07DB258F" w14:textId="77777777" w:rsidR="00276BB0" w:rsidRDefault="00276BB0">
      <w:pPr>
        <w:spacing w:after="0"/>
        <w:jc w:val="center"/>
        <w:rPr>
          <w:rFonts w:ascii="Arial" w:eastAsia="Arial" w:hAnsi="Arial" w:cs="Arial"/>
          <w:color w:val="000000"/>
          <w:sz w:val="20"/>
          <w:szCs w:val="20"/>
        </w:rPr>
      </w:pPr>
    </w:p>
    <w:sectPr w:rsidR="00276BB0">
      <w:headerReference w:type="default" r:id="rId38"/>
      <w:footerReference w:type="default" r:id="rId39"/>
      <w:pgSz w:w="11906" w:h="16838"/>
      <w:pgMar w:top="1418" w:right="1145" w:bottom="1418" w:left="851" w:header="0"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F5366A" w14:textId="77777777" w:rsidR="007B2BC3" w:rsidRDefault="007B2BC3">
      <w:pPr>
        <w:spacing w:after="0" w:line="240" w:lineRule="auto"/>
      </w:pPr>
      <w:r>
        <w:separator/>
      </w:r>
    </w:p>
  </w:endnote>
  <w:endnote w:type="continuationSeparator" w:id="0">
    <w:p w14:paraId="1AE04E1C" w14:textId="77777777" w:rsidR="007B2BC3" w:rsidRDefault="007B2B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D75644E-77EB-4A5A-86AC-72226F631DF7}"/>
    <w:embedBold r:id="rId2" w:fontKey="{A1BE0644-866C-4D69-B8E0-01249634821A}"/>
  </w:font>
  <w:font w:name="Georgia">
    <w:panose1 w:val="02040502050405020303"/>
    <w:charset w:val="00"/>
    <w:family w:val="roman"/>
    <w:pitch w:val="variable"/>
    <w:sig w:usb0="00000287" w:usb1="00000000" w:usb2="00000000" w:usb3="00000000" w:csb0="0000009F" w:csb1="00000000"/>
    <w:embedItalic r:id="rId3" w:fontKey="{C32A47F3-D74A-40A3-B8FA-B17F2F3A46ED}"/>
  </w:font>
  <w:font w:name="Cambria">
    <w:panose1 w:val="02040503050406030204"/>
    <w:charset w:val="00"/>
    <w:family w:val="roman"/>
    <w:pitch w:val="variable"/>
    <w:sig w:usb0="E00006FF" w:usb1="420024FF" w:usb2="02000000" w:usb3="00000000" w:csb0="0000019F" w:csb1="00000000"/>
    <w:embedRegular r:id="rId4" w:fontKey="{0B6F8C81-08B7-4BCB-B870-E0E12EF6A0A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CB5971" w14:textId="77777777" w:rsidR="00276BB0" w:rsidRDefault="00276BB0">
    <w:pPr>
      <w:pBdr>
        <w:top w:val="nil"/>
        <w:left w:val="nil"/>
        <w:bottom w:val="nil"/>
        <w:right w:val="nil"/>
        <w:between w:val="nil"/>
      </w:pBdr>
      <w:tabs>
        <w:tab w:val="center" w:pos="4252"/>
        <w:tab w:val="right" w:pos="8504"/>
      </w:tabs>
      <w:spacing w:after="0" w:line="240" w:lineRule="auto"/>
      <w:rPr>
        <w:color w:val="000000"/>
      </w:rPr>
    </w:pPr>
  </w:p>
  <w:p w14:paraId="0D331A4C" w14:textId="77777777" w:rsidR="00276BB0" w:rsidRDefault="00276BB0">
    <w:pPr>
      <w:pBdr>
        <w:top w:val="nil"/>
        <w:left w:val="nil"/>
        <w:bottom w:val="nil"/>
        <w:right w:val="nil"/>
        <w:between w:val="nil"/>
      </w:pBdr>
      <w:tabs>
        <w:tab w:val="center" w:pos="4252"/>
        <w:tab w:val="right" w:pos="8504"/>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934730" w14:textId="77777777" w:rsidR="007B2BC3" w:rsidRDefault="007B2BC3">
      <w:pPr>
        <w:spacing w:after="0" w:line="240" w:lineRule="auto"/>
      </w:pPr>
      <w:r>
        <w:separator/>
      </w:r>
    </w:p>
  </w:footnote>
  <w:footnote w:type="continuationSeparator" w:id="0">
    <w:p w14:paraId="539AB4D9" w14:textId="77777777" w:rsidR="007B2BC3" w:rsidRDefault="007B2BC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927CF4" w14:textId="77777777" w:rsidR="00276BB0" w:rsidRDefault="00000000">
    <w:pPr>
      <w:pBdr>
        <w:top w:val="nil"/>
        <w:left w:val="nil"/>
        <w:bottom w:val="nil"/>
        <w:right w:val="nil"/>
        <w:between w:val="nil"/>
      </w:pBdr>
      <w:tabs>
        <w:tab w:val="center" w:pos="4252"/>
        <w:tab w:val="right" w:pos="8504"/>
      </w:tabs>
      <w:spacing w:after="0" w:line="240" w:lineRule="auto"/>
    </w:pPr>
    <w:r>
      <w:rPr>
        <w:color w:val="000000"/>
      </w:rPr>
      <w:pict w14:anchorId="3C23E7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alt="" style="position:absolute;margin-left:0;margin-top:0;width:595.35pt;height:842.1pt;z-index:-251658752;mso-position-horizontal:center;mso-position-horizontal-relative:margin;mso-position-vertical:center;mso-position-vertical-relative:margin">
          <v:imagedata r:id="rId1" o:title="image8"/>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D14935"/>
    <w:multiLevelType w:val="multilevel"/>
    <w:tmpl w:val="73E20858"/>
    <w:lvl w:ilvl="0">
      <w:start w:val="1"/>
      <w:numFmt w:val="decimal"/>
      <w:lvlText w:val="%1."/>
      <w:lvlJc w:val="left"/>
      <w:pPr>
        <w:ind w:left="360" w:hanging="360"/>
      </w:pPr>
      <w:rPr>
        <w:rFonts w:ascii="Arial" w:eastAsia="Arial" w:hAnsi="Arial" w:cs="Arial"/>
        <w:b/>
        <w:bCs/>
        <w:strike w:val="0"/>
      </w:rPr>
    </w:lvl>
    <w:lvl w:ilvl="1">
      <w:start w:val="1"/>
      <w:numFmt w:val="decimal"/>
      <w:lvlText w:val="%1.%2."/>
      <w:lvlJc w:val="left"/>
      <w:pPr>
        <w:ind w:left="7662" w:hanging="432"/>
      </w:pPr>
      <w:rPr>
        <w:rFonts w:ascii="Arial" w:eastAsia="Arial" w:hAnsi="Arial" w:cs="Arial"/>
        <w:b/>
        <w:bCs/>
        <w:i w:val="0"/>
        <w:iCs w:val="0"/>
        <w:color w:val="000000"/>
        <w:sz w:val="20"/>
        <w:szCs w:val="20"/>
      </w:rPr>
    </w:lvl>
    <w:lvl w:ilvl="2">
      <w:start w:val="1"/>
      <w:numFmt w:val="decimal"/>
      <w:lvlText w:val="%1.%2.%3."/>
      <w:lvlJc w:val="left"/>
      <w:pPr>
        <w:ind w:left="2348" w:hanging="504"/>
      </w:pPr>
      <w:rPr>
        <w:rFonts w:ascii="Arial" w:eastAsia="Arial" w:hAnsi="Arial" w:cs="Arial"/>
        <w:b/>
        <w:bCs/>
        <w:i w:val="0"/>
        <w:iCs w:val="0"/>
        <w:strike w:val="0"/>
        <w:color w:val="000000"/>
        <w:sz w:val="20"/>
        <w:szCs w:val="20"/>
      </w:rPr>
    </w:lvl>
    <w:lvl w:ilvl="3">
      <w:start w:val="1"/>
      <w:numFmt w:val="decimal"/>
      <w:lvlText w:val="%1.%2.%3.%4."/>
      <w:lvlJc w:val="left"/>
      <w:pPr>
        <w:ind w:left="1728" w:hanging="647"/>
      </w:pPr>
      <w:rPr>
        <w:b/>
        <w:bCs/>
      </w:rPr>
    </w:lvl>
    <w:lvl w:ilvl="4">
      <w:start w:val="1"/>
      <w:numFmt w:val="decimal"/>
      <w:lvlText w:val="%1.%2.%3.%4.%5."/>
      <w:lvlJc w:val="left"/>
      <w:pPr>
        <w:ind w:left="2232" w:hanging="792"/>
      </w:pPr>
      <w:rPr>
        <w:b/>
        <w:bCs/>
      </w:r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1E0E2809"/>
    <w:multiLevelType w:val="multilevel"/>
    <w:tmpl w:val="1FC05350"/>
    <w:lvl w:ilvl="0">
      <w:start w:val="1"/>
      <w:numFmt w:val="decimal"/>
      <w:lvlText w:val="%1"/>
      <w:lvlJc w:val="left"/>
      <w:pPr>
        <w:ind w:left="360" w:hanging="360"/>
      </w:pPr>
    </w:lvl>
    <w:lvl w:ilvl="1">
      <w:start w:val="2"/>
      <w:numFmt w:val="decimal"/>
      <w:lvlText w:val="%1.%2"/>
      <w:lvlJc w:val="left"/>
      <w:pPr>
        <w:ind w:left="785" w:hanging="360"/>
      </w:pPr>
      <w:rPr>
        <w:b w:val="0"/>
        <w:bCs w:val="0"/>
        <w:color w:val="000000"/>
      </w:rPr>
    </w:lvl>
    <w:lvl w:ilvl="2">
      <w:start w:val="1"/>
      <w:numFmt w:val="decimal"/>
      <w:lvlText w:val="%1.%2.%3"/>
      <w:lvlJc w:val="left"/>
      <w:pPr>
        <w:ind w:left="1570" w:hanging="720"/>
      </w:pPr>
    </w:lvl>
    <w:lvl w:ilvl="3">
      <w:start w:val="1"/>
      <w:numFmt w:val="decimal"/>
      <w:lvlText w:val="%1.%2.%3.%4"/>
      <w:lvlJc w:val="left"/>
      <w:pPr>
        <w:ind w:left="1995" w:hanging="720"/>
      </w:pPr>
    </w:lvl>
    <w:lvl w:ilvl="4">
      <w:start w:val="1"/>
      <w:numFmt w:val="decimal"/>
      <w:lvlText w:val="%1.%2.%3.%4.%5"/>
      <w:lvlJc w:val="left"/>
      <w:pPr>
        <w:ind w:left="2780" w:hanging="1080"/>
      </w:pPr>
    </w:lvl>
    <w:lvl w:ilvl="5">
      <w:start w:val="1"/>
      <w:numFmt w:val="decimal"/>
      <w:lvlText w:val="%1.%2.%3.%4.%5.%6"/>
      <w:lvlJc w:val="left"/>
      <w:pPr>
        <w:ind w:left="3205" w:hanging="1080"/>
      </w:pPr>
    </w:lvl>
    <w:lvl w:ilvl="6">
      <w:start w:val="1"/>
      <w:numFmt w:val="decimal"/>
      <w:lvlText w:val="%1.%2.%3.%4.%5.%6.%7"/>
      <w:lvlJc w:val="left"/>
      <w:pPr>
        <w:ind w:left="3990" w:hanging="1440"/>
      </w:pPr>
    </w:lvl>
    <w:lvl w:ilvl="7">
      <w:start w:val="1"/>
      <w:numFmt w:val="decimal"/>
      <w:lvlText w:val="%1.%2.%3.%4.%5.%6.%7.%8"/>
      <w:lvlJc w:val="left"/>
      <w:pPr>
        <w:ind w:left="4415" w:hanging="1440"/>
      </w:pPr>
    </w:lvl>
    <w:lvl w:ilvl="8">
      <w:start w:val="1"/>
      <w:numFmt w:val="decimal"/>
      <w:lvlText w:val="%1.%2.%3.%4.%5.%6.%7.%8.%9"/>
      <w:lvlJc w:val="left"/>
      <w:pPr>
        <w:ind w:left="4840" w:hanging="1440"/>
      </w:pPr>
    </w:lvl>
  </w:abstractNum>
  <w:num w:numId="1" w16cid:durableId="383524798">
    <w:abstractNumId w:val="1"/>
  </w:num>
  <w:num w:numId="2" w16cid:durableId="2530558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6BB0"/>
    <w:rsid w:val="00276BB0"/>
    <w:rsid w:val="00567A12"/>
    <w:rsid w:val="0058312C"/>
    <w:rsid w:val="005B46FA"/>
    <w:rsid w:val="00616D2F"/>
    <w:rsid w:val="006220B6"/>
    <w:rsid w:val="006649DB"/>
    <w:rsid w:val="007560B6"/>
    <w:rsid w:val="00765221"/>
    <w:rsid w:val="00777B9D"/>
    <w:rsid w:val="007B2BC3"/>
    <w:rsid w:val="00896AAF"/>
    <w:rsid w:val="00956B32"/>
    <w:rsid w:val="009B2DD5"/>
    <w:rsid w:val="00A72AD5"/>
    <w:rsid w:val="00A7501E"/>
    <w:rsid w:val="00A83E5C"/>
    <w:rsid w:val="00BD2E71"/>
    <w:rsid w:val="00CE0D8D"/>
    <w:rsid w:val="00DD3A72"/>
    <w:rsid w:val="00E42221"/>
    <w:rsid w:val="00EF1BE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B3EF77"/>
  <w15:docId w15:val="{87545F5A-4E7C-4E91-A5D0-19372F32C6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color w:val="00000A"/>
        <w:sz w:val="22"/>
        <w:szCs w:val="22"/>
        <w:lang w:val="pt-BR" w:eastAsia="pt-BR" w:bidi="ar-SA"/>
      </w:rPr>
    </w:rPrDefault>
    <w:pPrDefault>
      <w:pPr>
        <w:widowControl w:val="0"/>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70" w:type="dxa"/>
        <w:bottom w:w="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s://belojardim.pe.gov.br/transparencia/legislacoes/detalhes/decreto-n-05-2023-8216-27-01-2023" TargetMode="External"/><Relationship Id="rId26" Type="http://schemas.openxmlformats.org/officeDocument/2006/relationships/hyperlink" Target="http://www.planalto.gov.br/ccivil_03/_ato2019-2022/2021/lei/L14133.htm" TargetMode="External"/><Relationship Id="rId39" Type="http://schemas.openxmlformats.org/officeDocument/2006/relationships/footer" Target="footer1.xml"/><Relationship Id="rId21" Type="http://schemas.openxmlformats.org/officeDocument/2006/relationships/hyperlink" Target="https://belojardim.pe.gov.br/transparencia/legislacoes/detalhes/decreto-n-05-2023-8216-27-01-2023" TargetMode="External"/><Relationship Id="rId34" Type="http://schemas.openxmlformats.org/officeDocument/2006/relationships/hyperlink" Target="http://www.planalto.gov.br/ccivil_03/_ato2019-2022/2021/lei/L14133.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0" Type="http://schemas.openxmlformats.org/officeDocument/2006/relationships/hyperlink" Target="https://belojardim.pe.gov.br/transparencia/legislacoes/detalhes/decreto-n-05-2023-8216-27-01-2023" TargetMode="External"/><Relationship Id="rId29" Type="http://schemas.openxmlformats.org/officeDocument/2006/relationships/hyperlink" Target="https://www.gov.br/economia/pt-br/assuntos/drei/legislacao/arquivos/legislacoes-federais/indrei772020.pdf"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gov.br/trabalho-e-previdencia/pt-br/servicos/empregador/programa-de-alimentacao-do-trabalhador-pat/arquivos-legislacao/instrucoes-normativas/pat_in_971_2009.pdf" TargetMode="External"/><Relationship Id="rId37" Type="http://schemas.openxmlformats.org/officeDocument/2006/relationships/hyperlink" Target="https://www.planalto.gov.br/ccivil_03/leis/l5764.htm"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gov.br/empresas-e-negocios/pt-br/empreendedor" TargetMode="External"/><Relationship Id="rId36" Type="http://schemas.openxmlformats.org/officeDocument/2006/relationships/hyperlink" Target="https://www.planalto.gov.br/ccivil_03/leis/l5764.htm" TargetMode="External"/><Relationship Id="rId10" Type="http://schemas.openxmlformats.org/officeDocument/2006/relationships/image" Target="media/image3.png"/><Relationship Id="rId19" Type="http://schemas.openxmlformats.org/officeDocument/2006/relationships/hyperlink" Target="https://belojardim.pe.gov.br/transparencia/legislacoes/detalhes/decreto-n-05-2023-8216-27-01-2023" TargetMode="External"/><Relationship Id="rId31" Type="http://schemas.openxmlformats.org/officeDocument/2006/relationships/hyperlink" Target="https://www.planalto.gov.br/ccivil_03/_ato2019-2022/2021/decreto/d10880.htm"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belojardim.pe.gov.br/transparencia/legislacoes/detalhes/decreto-n-05-2023-8216-27-01-2023" TargetMode="External"/><Relationship Id="rId27" Type="http://schemas.openxmlformats.org/officeDocument/2006/relationships/hyperlink" Target="https://www.planalto.gov.br/ccivil_03/leis/lcp/lcp123.htm" TargetMode="External"/><Relationship Id="rId30" Type="http://schemas.openxmlformats.org/officeDocument/2006/relationships/hyperlink" Target="https://www.planalto.gov.br/ccivil_03/leis/l5764.htm" TargetMode="External"/><Relationship Id="rId35" Type="http://schemas.openxmlformats.org/officeDocument/2006/relationships/hyperlink" Target="https://www.planalto.gov.br/ccivil_03/leis/l5764.htm" TargetMode="Externa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s://www.gov.br/compras/pt-br/acesso-a-informacao/legislacao/instrucoes-normativas/instrucao-normativa-seges-me-no-116-de-21-de-dezembro-de-2021" TargetMode="External"/><Relationship Id="rId38"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iJQ7Fvs9fe1EqDRpimgT+ZYVBAg==">CgMxLjAyCWguMmV0OTJwMDIOaC44d3dnNmloYTJnaWwyDmguMTBqOTI2aDhvYnBiMg5oLjZmdmFwd3hiZGJnaTIOaC56ZDNldHFsZHR1a3o4AHIhMXdXTWJGNmJvQ0EteVJ6YzhKdDNWR3ZudmliZ25XRVo3</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6419</Words>
  <Characters>34665</Characters>
  <Application>Microsoft Office Word</Application>
  <DocSecurity>0</DocSecurity>
  <Lines>288</Lines>
  <Paragraphs>82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41002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cp:lastModifiedBy>
  <cp:revision>6</cp:revision>
  <cp:lastPrinted>2026-04-27T16:15:00Z</cp:lastPrinted>
  <dcterms:created xsi:type="dcterms:W3CDTF">2026-04-16T12:19:00Z</dcterms:created>
  <dcterms:modified xsi:type="dcterms:W3CDTF">2026-04-27T16:15:00Z</dcterms:modified>
</cp:coreProperties>
</file>